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12D21" w14:textId="7CEAF43A" w:rsidR="00502B08" w:rsidRDefault="001A2FDE" w:rsidP="00502B08">
      <w:r>
        <w:rPr>
          <w:noProof/>
        </w:rPr>
        <mc:AlternateContent>
          <mc:Choice Requires="wps">
            <w:drawing>
              <wp:anchor distT="91440" distB="91440" distL="114300" distR="114300" simplePos="0" relativeHeight="251662336" behindDoc="0" locked="0" layoutInCell="0" allowOverlap="1" wp14:anchorId="786C9480" wp14:editId="28C0863F">
                <wp:simplePos x="0" y="0"/>
                <wp:positionH relativeFrom="margin">
                  <wp:posOffset>21590</wp:posOffset>
                </wp:positionH>
                <wp:positionV relativeFrom="margin">
                  <wp:posOffset>5027930</wp:posOffset>
                </wp:positionV>
                <wp:extent cx="3362325" cy="952500"/>
                <wp:effectExtent l="95250" t="95250" r="123825" b="114300"/>
                <wp:wrapSquare wrapText="bothSides"/>
                <wp:docPr id="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62325" cy="952500"/>
                        </a:xfrm>
                        <a:prstGeom prst="rect">
                          <a:avLst/>
                        </a:prstGeom>
                        <a:solidFill>
                          <a:srgbClr val="5090C9"/>
                        </a:solidFill>
                        <a:ln w="19050">
                          <a:noFill/>
                          <a:miter lim="800000"/>
                          <a:headEnd/>
                          <a:tailEnd/>
                        </a:ln>
                        <a:effectLst>
                          <a:outerShdw blurRad="101600" dist="25400" dir="2700000" algn="tl" rotWithShape="0">
                            <a:prstClr val="black">
                              <a:alpha val="34000"/>
                            </a:prstClr>
                          </a:outerShdw>
                        </a:effectLst>
                      </wps:spPr>
                      <wps:txbx>
                        <w:txbxContent>
                          <w:p w14:paraId="34B735E5" w14:textId="0D62C669" w:rsidR="00502B08" w:rsidRPr="004A4D63" w:rsidRDefault="00502B08" w:rsidP="00502B08">
                            <w:pPr>
                              <w:pStyle w:val="Heading1"/>
                              <w:spacing w:before="0" w:after="0"/>
                              <w:ind w:left="-180" w:right="-4"/>
                              <w:rPr>
                                <w:color w:val="FFFFFF" w:themeColor="background1"/>
                                <w:sz w:val="28"/>
                              </w:rPr>
                            </w:pPr>
                            <w:r>
                              <w:rPr>
                                <w:color w:val="FFFFFF" w:themeColor="background1"/>
                                <w:sz w:val="28"/>
                              </w:rPr>
                              <w:t>Office of Human Rights State Level Report (CY2020)</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786C9480" id="Rectangle 396" o:spid="_x0000_s1026" style="position:absolute;margin-left:1.7pt;margin-top:395.9pt;width:264.75pt;height:75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" o:allowincell="f" fillcolor="#5090c9" stroked="f" strokeweight="1.5pt">
                <v:shadow on="t" color="black" opacity="22282f" origin="-.5,-.5" offset=".49892mm,.49892mm"/>
                <v:textbox style="mso-fit-shape-to-text:t" inset="21.6pt,21.6pt,21.6pt,21.6pt">
                  <w:txbxContent>
                    <w:p w14:paraId="34B735E5" w14:textId="0D62C669" w:rsidR="00502B08" w:rsidRPr="004A4D63" w:rsidRDefault="00502B08" w:rsidP="00502B08">
                      <w:pPr>
                        <w:pStyle w:val="Heading1"/>
                        <w:spacing w:before="0" w:after="0"/>
                        <w:ind w:left="-180" w:right="-4"/>
                        <w:rPr>
                          <w:color w:val="FFFFFF" w:themeColor="background1"/>
                          <w:sz w:val="28"/>
                        </w:rPr>
                      </w:pPr>
                      <w:r>
                        <w:rPr>
                          <w:color w:val="FFFFFF" w:themeColor="background1"/>
                          <w:sz w:val="28"/>
                        </w:rPr>
                        <w:t>Office of Human Rights State Level Report (CY2020)</w:t>
                      </w:r>
                    </w:p>
                  </w:txbxContent>
                </v:textbox>
                <w10:wrap type="square" anchorx="margin" anchory="margin"/>
              </v:rect>
            </w:pict>
          </mc:Fallback>
        </mc:AlternateContent>
      </w:r>
      <w:r>
        <w:rPr>
          <w:noProof/>
        </w:rPr>
        <mc:AlternateContent>
          <mc:Choice Requires="wpg">
            <w:drawing>
              <wp:anchor distT="0" distB="0" distL="114300" distR="114300" simplePos="0" relativeHeight="251660288" behindDoc="0" locked="0" layoutInCell="1" allowOverlap="1" wp14:anchorId="1B7EA559" wp14:editId="6B301540">
                <wp:simplePos x="0" y="0"/>
                <wp:positionH relativeFrom="column">
                  <wp:posOffset>21590</wp:posOffset>
                </wp:positionH>
                <wp:positionV relativeFrom="paragraph">
                  <wp:posOffset>2440305</wp:posOffset>
                </wp:positionV>
                <wp:extent cx="3362325" cy="1154430"/>
                <wp:effectExtent l="2540" t="1905" r="16510"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2325" cy="1154430"/>
                          <a:chOff x="6" y="0"/>
                          <a:chExt cx="33623" cy="11544"/>
                        </a:xfrm>
                      </wpg:grpSpPr>
                      <wps:wsp>
                        <wps:cNvPr id="3" name="Rectangle 4"/>
                        <wps:cNvSpPr>
                          <a:spLocks noChangeArrowheads="1"/>
                        </wps:cNvSpPr>
                        <wps:spPr bwMode="auto">
                          <a:xfrm flipH="1">
                            <a:off x="6" y="0"/>
                            <a:ext cx="33623" cy="11544"/>
                          </a:xfrm>
                          <a:prstGeom prst="rect">
                            <a:avLst/>
                          </a:prstGeom>
                          <a:solidFill>
                            <a:schemeClr val="bg1">
                              <a:lumMod val="100000"/>
                              <a:lumOff val="0"/>
                            </a:schemeClr>
                          </a:solidFill>
                          <a:ln>
                            <a:noFill/>
                          </a:ln>
                          <a:effectLst>
                            <a:outerShdw dist="25401" dir="2700000" algn="tl" rotWithShape="0">
                              <a:srgbClr val="000000">
                                <a:alpha val="14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284DB177" w14:textId="77777777" w:rsidR="00502B08" w:rsidRPr="004A4D63" w:rsidRDefault="00502B08" w:rsidP="00502B08">
                              <w:pPr>
                                <w:pStyle w:val="Heading1"/>
                                <w:spacing w:before="0" w:after="0"/>
                                <w:ind w:left="1440" w:right="-450" w:hanging="270"/>
                                <w:rPr>
                                  <w:sz w:val="28"/>
                                </w:rPr>
                              </w:pPr>
                              <w:r w:rsidRPr="004A4D63">
                                <w:rPr>
                                  <w:sz w:val="28"/>
                                </w:rPr>
                                <w:t xml:space="preserve">Virginia Department of </w:t>
                              </w:r>
                            </w:p>
                            <w:p w14:paraId="479DEC7C" w14:textId="77777777" w:rsidR="00502B08" w:rsidRPr="004A4D63" w:rsidRDefault="00502B08" w:rsidP="00502B08">
                              <w:pPr>
                                <w:pStyle w:val="Heading1"/>
                                <w:spacing w:before="0" w:after="0"/>
                                <w:ind w:left="1440" w:right="-450" w:hanging="270"/>
                                <w:rPr>
                                  <w:sz w:val="28"/>
                                </w:rPr>
                              </w:pPr>
                              <w:r w:rsidRPr="004A4D63">
                                <w:rPr>
                                  <w:sz w:val="28"/>
                                </w:rPr>
                                <w:t xml:space="preserve">Behavioral Health &amp; </w:t>
                              </w:r>
                            </w:p>
                            <w:p w14:paraId="10862B1D" w14:textId="77777777" w:rsidR="00502B08" w:rsidRPr="004A4D63" w:rsidRDefault="00502B08" w:rsidP="00502B08">
                              <w:pPr>
                                <w:pStyle w:val="Heading1"/>
                                <w:spacing w:before="0" w:after="0"/>
                                <w:ind w:left="1440" w:right="-450" w:hanging="270"/>
                                <w:rPr>
                                  <w:sz w:val="28"/>
                                </w:rPr>
                              </w:pPr>
                              <w:r w:rsidRPr="004A4D63">
                                <w:rPr>
                                  <w:sz w:val="28"/>
                                </w:rPr>
                                <w:t>Developmental Services</w:t>
                              </w:r>
                            </w:p>
                          </w:txbxContent>
                        </wps:txbx>
                        <wps:bodyPr rot="0" vert="horz" wrap="square" lIns="274320" tIns="274320" rIns="274320" bIns="274320" anchor="ctr" anchorCtr="0" upright="1">
                          <a:spAutoFit/>
                        </wps:bodyPr>
                      </wps:wsp>
                      <pic:pic xmlns:pic="http://schemas.openxmlformats.org/drawingml/2006/picture">
                        <pic:nvPicPr>
                          <pic:cNvPr id="4" name="Picture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072" y="2560"/>
                            <a:ext cx="7193" cy="7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7EA559" id="Group 2" o:spid="_x0000_s1027" style="position:absolute;margin-left:1.7pt;margin-top:192.15pt;width:264.75pt;height:90.9pt;z-index:251660288" coordorigin="6" coordsize="33623,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">
                <v:rect id="Rectangle 4" o:spid="_x0000_s1028" style="position:absolute;left:6;width:33623;height:115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" fillcolor="white [3212]" stroked="f" strokeweight="1.5pt">
                  <v:shadow on="t" color="black" opacity="9829f" origin="-.5,-.5" offset=".49892mm,.49892mm"/>
                  <v:textbox style="mso-fit-shape-to-text:t" inset="21.6pt,21.6pt,21.6pt,21.6pt">
                    <w:txbxContent>
                      <w:p w14:paraId="284DB177" w14:textId="77777777" w:rsidR="00502B08" w:rsidRPr="004A4D63" w:rsidRDefault="00502B08" w:rsidP="00502B08">
                        <w:pPr>
                          <w:pStyle w:val="Heading1"/>
                          <w:spacing w:before="0" w:after="0"/>
                          <w:ind w:left="1440" w:right="-450" w:hanging="270"/>
                          <w:rPr>
                            <w:sz w:val="28"/>
                          </w:rPr>
                        </w:pPr>
                        <w:r w:rsidRPr="004A4D63">
                          <w:rPr>
                            <w:sz w:val="28"/>
                          </w:rPr>
                          <w:t xml:space="preserve">Virginia Department of </w:t>
                        </w:r>
                      </w:p>
                      <w:p w14:paraId="479DEC7C" w14:textId="77777777" w:rsidR="00502B08" w:rsidRPr="004A4D63" w:rsidRDefault="00502B08" w:rsidP="00502B08">
                        <w:pPr>
                          <w:pStyle w:val="Heading1"/>
                          <w:spacing w:before="0" w:after="0"/>
                          <w:ind w:left="1440" w:right="-450" w:hanging="270"/>
                          <w:rPr>
                            <w:sz w:val="28"/>
                          </w:rPr>
                        </w:pPr>
                        <w:r w:rsidRPr="004A4D63">
                          <w:rPr>
                            <w:sz w:val="28"/>
                          </w:rPr>
                          <w:t xml:space="preserve">Behavioral Health &amp; </w:t>
                        </w:r>
                      </w:p>
                      <w:p w14:paraId="10862B1D" w14:textId="77777777" w:rsidR="00502B08" w:rsidRPr="004A4D63" w:rsidRDefault="00502B08" w:rsidP="00502B08">
                        <w:pPr>
                          <w:pStyle w:val="Heading1"/>
                          <w:spacing w:before="0" w:after="0"/>
                          <w:ind w:left="1440" w:right="-450" w:hanging="270"/>
                          <w:rPr>
                            <w:sz w:val="28"/>
                          </w:rPr>
                        </w:pPr>
                        <w:r w:rsidRPr="004A4D63">
                          <w:rPr>
                            <w:sz w:val="28"/>
                          </w:rPr>
                          <w:t>Developmental Services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2072;top:2560;width:7193;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">
                  <v:imagedata r:id="rId11" o:title=""/>
                  <v:path arrowok="t"/>
                </v:shape>
              </v:group>
            </w:pict>
          </mc:Fallback>
        </mc:AlternateContent>
      </w:r>
      <w:r>
        <w:rPr>
          <w:noProof/>
        </w:rPr>
        <mc:AlternateContent>
          <mc:Choice Requires="wps">
            <w:drawing>
              <wp:anchor distT="91440" distB="91440" distL="114300" distR="114300" simplePos="0" relativeHeight="251661312" behindDoc="0" locked="0" layoutInCell="0" allowOverlap="1" wp14:anchorId="432D4001" wp14:editId="4D0E1A3B">
                <wp:simplePos x="0" y="0"/>
                <wp:positionH relativeFrom="margin">
                  <wp:posOffset>28575</wp:posOffset>
                </wp:positionH>
                <wp:positionV relativeFrom="margin">
                  <wp:posOffset>3815080</wp:posOffset>
                </wp:positionV>
                <wp:extent cx="3362325" cy="826770"/>
                <wp:effectExtent l="95250" t="95250" r="123825" b="106680"/>
                <wp:wrapSquare wrapText="bothSides"/>
                <wp:docPr id="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62325" cy="826770"/>
                        </a:xfrm>
                        <a:prstGeom prst="rect">
                          <a:avLst/>
                        </a:prstGeom>
                        <a:solidFill>
                          <a:srgbClr val="30699D"/>
                        </a:solidFill>
                        <a:ln w="19050">
                          <a:noFill/>
                          <a:miter lim="800000"/>
                          <a:headEnd/>
                          <a:tailEnd/>
                        </a:ln>
                        <a:effectLst>
                          <a:outerShdw blurRad="101600" dist="25400" dir="2700000" algn="tl" rotWithShape="0">
                            <a:prstClr val="black">
                              <a:alpha val="47000"/>
                            </a:prstClr>
                          </a:outerShdw>
                        </a:effectLst>
                      </wps:spPr>
                      <wps:txbx>
                        <w:txbxContent>
                          <w:p w14:paraId="16060DC7" w14:textId="14F7C94C" w:rsidR="00502B08" w:rsidRPr="004A4D63" w:rsidRDefault="00502B08" w:rsidP="00502B08">
                            <w:pPr>
                              <w:pStyle w:val="Heading1"/>
                              <w:spacing w:before="0" w:after="120"/>
                              <w:ind w:left="-187" w:right="-446"/>
                              <w:rPr>
                                <w:color w:val="FFFFFF" w:themeColor="background1"/>
                                <w:sz w:val="28"/>
                              </w:rPr>
                            </w:pPr>
                            <w:r>
                              <w:rPr>
                                <w:color w:val="FFFFFF" w:themeColor="background1"/>
                                <w:sz w:val="28"/>
                              </w:rPr>
                              <w:t>Community Lookbehind</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432D4001" id="_x0000_s1030" style="position:absolute;margin-left:2.25pt;margin-top:300.4pt;width:264.75pt;height:65.1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" o:allowincell="f" fillcolor="#30699d" stroked="f" strokeweight="1.5pt">
                <v:shadow on="t" color="black" opacity="30801f" origin="-.5,-.5" offset=".49892mm,.49892mm"/>
                <v:textbox style="mso-fit-shape-to-text:t" inset="21.6pt,21.6pt,21.6pt,21.6pt">
                  <w:txbxContent>
                    <w:p w14:paraId="16060DC7" w14:textId="14F7C94C" w:rsidR="00502B08" w:rsidRPr="004A4D63" w:rsidRDefault="00502B08" w:rsidP="00502B08">
                      <w:pPr>
                        <w:pStyle w:val="Heading1"/>
                        <w:spacing w:before="0" w:after="120"/>
                        <w:ind w:left="-187" w:right="-446"/>
                        <w:rPr>
                          <w:color w:val="FFFFFF" w:themeColor="background1"/>
                          <w:sz w:val="28"/>
                        </w:rPr>
                      </w:pPr>
                      <w:r>
                        <w:rPr>
                          <w:color w:val="FFFFFF" w:themeColor="background1"/>
                          <w:sz w:val="28"/>
                        </w:rPr>
                        <w:t>Community Lookbehind</w:t>
                      </w:r>
                    </w:p>
                  </w:txbxContent>
                </v:textbox>
                <w10:wrap type="square" anchorx="margin" anchory="margin"/>
              </v:rect>
            </w:pict>
          </mc:Fallback>
        </mc:AlternateContent>
      </w:r>
      <w:r w:rsidR="00502B08">
        <w:br w:type="page"/>
      </w:r>
    </w:p>
    <w:p w14:paraId="538D25E0" w14:textId="36E2EDBE" w:rsidR="00502B08" w:rsidRPr="00087D5C" w:rsidRDefault="00502B08" w:rsidP="00502B08">
      <w:pPr>
        <w:pStyle w:val="Title"/>
      </w:pPr>
      <w:r>
        <w:rPr>
          <w:noProof/>
        </w:rPr>
        <w:lastRenderedPageBreak/>
        <w:drawing>
          <wp:anchor distT="0" distB="0" distL="114300" distR="114300" simplePos="0" relativeHeight="251658240" behindDoc="1" locked="0" layoutInCell="1" allowOverlap="1" wp14:anchorId="3C08B828" wp14:editId="358DB5EA">
            <wp:simplePos x="0" y="0"/>
            <wp:positionH relativeFrom="column">
              <wp:posOffset>5217795</wp:posOffset>
            </wp:positionH>
            <wp:positionV relativeFrom="paragraph">
              <wp:posOffset>-353695</wp:posOffset>
            </wp:positionV>
            <wp:extent cx="713740" cy="713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75607.png"/>
                    <pic:cNvPicPr/>
                  </pic:nvPicPr>
                  <pic:blipFill>
                    <a:blip r:embed="rId10">
                      <a:extLst>
                        <a:ext uri="{28A0092B-C50C-407E-A947-70E740481C1C}">
                          <a14:useLocalDpi xmlns:a14="http://schemas.microsoft.com/office/drawing/2010/main" val="0"/>
                        </a:ext>
                      </a:extLst>
                    </a:blip>
                    <a:stretch>
                      <a:fillRect/>
                    </a:stretch>
                  </pic:blipFill>
                  <pic:spPr>
                    <a:xfrm>
                      <a:off x="0" y="0"/>
                      <a:ext cx="713740" cy="713740"/>
                    </a:xfrm>
                    <a:prstGeom prst="rect">
                      <a:avLst/>
                    </a:prstGeom>
                  </pic:spPr>
                </pic:pic>
              </a:graphicData>
            </a:graphic>
            <wp14:sizeRelH relativeFrom="page">
              <wp14:pctWidth>0</wp14:pctWidth>
            </wp14:sizeRelH>
            <wp14:sizeRelV relativeFrom="page">
              <wp14:pctHeight>0</wp14:pctHeight>
            </wp14:sizeRelV>
          </wp:anchor>
        </w:drawing>
      </w:r>
      <w:r>
        <w:t>Community Look</w:t>
      </w:r>
      <w:r w:rsidR="00820A31">
        <w:t>-B</w:t>
      </w:r>
      <w:r>
        <w:t>ehind</w:t>
      </w:r>
    </w:p>
    <w:p w14:paraId="68F2F457" w14:textId="182720C8" w:rsidR="00502B08" w:rsidRDefault="00502B08" w:rsidP="00502B08">
      <w:pPr>
        <w:pStyle w:val="Subtitle"/>
      </w:pPr>
      <w:r>
        <w:t>Office of Human Rights State Level Report (CY2020)</w:t>
      </w:r>
    </w:p>
    <w:p w14:paraId="2E3B3231" w14:textId="5E49C00A" w:rsidR="00FF3B6A" w:rsidRPr="00851D8A" w:rsidRDefault="00F651DB">
      <w:pPr>
        <w:pStyle w:val="FirstParagraph"/>
      </w:pPr>
      <w:r w:rsidRPr="00851D8A">
        <w:t xml:space="preserve">The Community Look-Behind (CLB) is an annual review process conducted by the Office of Human Rights (OHR) for abuse cases among individuals receiving DD services in the community. The Human Rights Regional Manager for all regions reviewed 300 </w:t>
      </w:r>
      <w:r w:rsidRPr="006B22A0">
        <w:t>cases. These cases had an incident date in CY 2020</w:t>
      </w:r>
      <w:r w:rsidR="00AE1EEC" w:rsidRPr="006B22A0">
        <w:t xml:space="preserve"> </w:t>
      </w:r>
      <w:r w:rsidRPr="006B22A0">
        <w:t xml:space="preserve">and a closed case status. </w:t>
      </w:r>
      <w:r w:rsidR="00A01D0C" w:rsidRPr="006B22A0">
        <w:t xml:space="preserve">  Due to the ongoing concerns during the COVID-19 Pandemic, these reviews were conducted remotely</w:t>
      </w:r>
      <w:r w:rsidR="00820A31" w:rsidRPr="006B22A0">
        <w:t>, through a desk review and follow-u</w:t>
      </w:r>
      <w:r w:rsidR="005008DE" w:rsidRPr="006B22A0">
        <w:t>p virtual meeting or phone call</w:t>
      </w:r>
      <w:r w:rsidR="00A01D0C" w:rsidRPr="006B22A0">
        <w:t>.</w:t>
      </w:r>
      <w:r w:rsidR="00A01D0C">
        <w:t xml:space="preserve">  </w:t>
      </w:r>
    </w:p>
    <w:p w14:paraId="300146A7" w14:textId="77777777" w:rsidR="00FF3B6A" w:rsidRPr="00851D8A" w:rsidRDefault="00F651DB">
      <w:pPr>
        <w:pStyle w:val="Heading1"/>
      </w:pPr>
      <w:bookmarkStart w:id="0" w:name="business-processes-and-requirements"/>
      <w:r w:rsidRPr="00851D8A">
        <w:t>Business Processes and Requirements</w:t>
      </w:r>
      <w:bookmarkEnd w:id="0"/>
    </w:p>
    <w:p w14:paraId="3C003C7D" w14:textId="77777777" w:rsidR="00FF3B6A" w:rsidRPr="00851D8A" w:rsidRDefault="00F651DB">
      <w:pPr>
        <w:pStyle w:val="FirstParagraph"/>
      </w:pPr>
      <w:r w:rsidRPr="00851D8A">
        <w:t>One goal of the CLB is to assess business processes. OHR uses an 86% threshold standard for key metrics surrounding provider reporting timelines and compliance with investigation requirements (Table 1).</w:t>
      </w:r>
    </w:p>
    <w:p w14:paraId="701D5200" w14:textId="77777777" w:rsidR="00FF3B6A" w:rsidRPr="00851D8A" w:rsidRDefault="00F651DB">
      <w:pPr>
        <w:pStyle w:val="Heading6"/>
      </w:pPr>
      <w:bookmarkStart w:id="1" w:name="Xb3e3fa4e31e37a0e5e8b0a236902d248daa090d"/>
      <w:r w:rsidRPr="00851D8A">
        <w:t>Table 1. Business Processes and Compliance with Investigation Requirements</w:t>
      </w:r>
      <w:bookmarkEnd w:id="1"/>
    </w:p>
    <w:tbl>
      <w:tblPr>
        <w:tblW w:w="0" w:type="auto"/>
        <w:jc w:val="center"/>
        <w:tblLayout w:type="fixed"/>
        <w:tblLook w:val="04A0" w:firstRow="1" w:lastRow="0" w:firstColumn="1" w:lastColumn="0" w:noHBand="0" w:noVBand="1"/>
      </w:tblPr>
      <w:tblGrid>
        <w:gridCol w:w="5040"/>
        <w:gridCol w:w="1080"/>
        <w:gridCol w:w="1080"/>
      </w:tblGrid>
      <w:tr w:rsidR="00FF3B6A" w:rsidRPr="00851D8A" w14:paraId="3BF01842" w14:textId="77777777">
        <w:trPr>
          <w:cantSplit/>
          <w:trHeight w:hRule="exact" w:val="360"/>
          <w:tblHeader/>
          <w:jc w:val="center"/>
        </w:trPr>
        <w:tc>
          <w:tcPr>
            <w:tcW w:w="5040" w:type="dxa"/>
            <w:tcBorders>
              <w:top w:val="single" w:sz="8" w:space="0" w:color="D9D9D9"/>
              <w:left w:val="single" w:sz="8" w:space="0" w:color="D9D9D9"/>
              <w:bottom w:val="single" w:sz="8" w:space="0" w:color="D9D9D9"/>
            </w:tcBorders>
            <w:shd w:val="clear" w:color="auto" w:fill="30699D"/>
            <w:tcMar>
              <w:top w:w="0" w:type="dxa"/>
              <w:left w:w="0" w:type="dxa"/>
              <w:bottom w:w="0" w:type="dxa"/>
              <w:right w:w="0" w:type="dxa"/>
            </w:tcMar>
            <w:vAlign w:val="center"/>
          </w:tcPr>
          <w:p w14:paraId="2FDFB034" w14:textId="77777777" w:rsidR="00FF3B6A" w:rsidRPr="00851D8A" w:rsidRDefault="00F651DB">
            <w:pPr>
              <w:spacing w:before="40" w:after="40"/>
              <w:ind w:left="100" w:right="100"/>
            </w:pPr>
            <w:r w:rsidRPr="00851D8A">
              <w:rPr>
                <w:rFonts w:eastAsia="Segoe UI" w:cs="Segoe UI"/>
                <w:b/>
                <w:color w:val="FFFFFF"/>
                <w:sz w:val="20"/>
                <w:szCs w:val="20"/>
              </w:rPr>
              <w:t>Business Requirement Question</w:t>
            </w:r>
          </w:p>
        </w:tc>
        <w:tc>
          <w:tcPr>
            <w:tcW w:w="1080" w:type="dxa"/>
            <w:tcBorders>
              <w:top w:val="single" w:sz="8" w:space="0" w:color="D9D9D9"/>
              <w:bottom w:val="single" w:sz="8" w:space="0" w:color="D9D9D9"/>
            </w:tcBorders>
            <w:shd w:val="clear" w:color="auto" w:fill="30699D"/>
            <w:tcMar>
              <w:top w:w="0" w:type="dxa"/>
              <w:left w:w="0" w:type="dxa"/>
              <w:bottom w:w="0" w:type="dxa"/>
              <w:right w:w="0" w:type="dxa"/>
            </w:tcMar>
            <w:vAlign w:val="center"/>
          </w:tcPr>
          <w:p w14:paraId="33778B71" w14:textId="77777777" w:rsidR="00FF3B6A" w:rsidRPr="00851D8A" w:rsidRDefault="00F651DB">
            <w:pPr>
              <w:spacing w:before="40" w:after="40"/>
              <w:ind w:left="100" w:right="100"/>
              <w:jc w:val="right"/>
            </w:pPr>
            <w:r w:rsidRPr="00851D8A">
              <w:rPr>
                <w:rFonts w:eastAsia="Segoe UI" w:cs="Segoe UI"/>
                <w:b/>
                <w:color w:val="FFFFFF"/>
                <w:sz w:val="20"/>
                <w:szCs w:val="20"/>
              </w:rPr>
              <w:t>Count</w:t>
            </w:r>
          </w:p>
        </w:tc>
        <w:tc>
          <w:tcPr>
            <w:tcW w:w="1080" w:type="dxa"/>
            <w:tcBorders>
              <w:top w:val="single" w:sz="8" w:space="0" w:color="D9D9D9"/>
              <w:bottom w:val="single" w:sz="8" w:space="0" w:color="D9D9D9"/>
              <w:right w:val="single" w:sz="8" w:space="0" w:color="D9D9D9"/>
            </w:tcBorders>
            <w:shd w:val="clear" w:color="auto" w:fill="30699D"/>
            <w:tcMar>
              <w:top w:w="0" w:type="dxa"/>
              <w:left w:w="0" w:type="dxa"/>
              <w:bottom w:w="0" w:type="dxa"/>
              <w:right w:w="0" w:type="dxa"/>
            </w:tcMar>
            <w:vAlign w:val="center"/>
          </w:tcPr>
          <w:p w14:paraId="0C2D2BA5" w14:textId="77777777" w:rsidR="00FF3B6A" w:rsidRPr="00851D8A" w:rsidRDefault="00F651DB">
            <w:pPr>
              <w:spacing w:before="40" w:after="40"/>
              <w:ind w:left="100" w:right="100"/>
              <w:jc w:val="right"/>
            </w:pPr>
            <w:r w:rsidRPr="00851D8A">
              <w:rPr>
                <w:rFonts w:eastAsia="Segoe UI" w:cs="Segoe UI"/>
                <w:b/>
                <w:color w:val="FFFFFF"/>
                <w:sz w:val="20"/>
                <w:szCs w:val="20"/>
              </w:rPr>
              <w:t>Percent</w:t>
            </w:r>
          </w:p>
        </w:tc>
      </w:tr>
      <w:tr w:rsidR="00FF3B6A" w:rsidRPr="00851D8A" w14:paraId="06726B5C" w14:textId="77777777">
        <w:trPr>
          <w:cantSplit/>
          <w:trHeight w:hRule="exact" w:val="720"/>
          <w:jc w:val="center"/>
        </w:trPr>
        <w:tc>
          <w:tcPr>
            <w:tcW w:w="5040" w:type="dxa"/>
            <w:tcBorders>
              <w:top w:val="single" w:sz="8" w:space="0" w:color="D9D9D9"/>
              <w:left w:val="single" w:sz="8" w:space="0" w:color="D9D9D9"/>
            </w:tcBorders>
            <w:shd w:val="clear" w:color="auto" w:fill="FFFFFF"/>
            <w:tcMar>
              <w:top w:w="0" w:type="dxa"/>
              <w:left w:w="0" w:type="dxa"/>
              <w:bottom w:w="0" w:type="dxa"/>
              <w:right w:w="0" w:type="dxa"/>
            </w:tcMar>
            <w:vAlign w:val="center"/>
          </w:tcPr>
          <w:p w14:paraId="04DF621D" w14:textId="77777777" w:rsidR="00FF3B6A" w:rsidRPr="00851D8A" w:rsidRDefault="00F651DB">
            <w:pPr>
              <w:spacing w:before="40" w:after="40"/>
              <w:ind w:left="100" w:right="100"/>
            </w:pPr>
            <w:r w:rsidRPr="00851D8A">
              <w:rPr>
                <w:rFonts w:eastAsia="Segoe UI" w:cs="Segoe UI"/>
                <w:i/>
                <w:color w:val="111111"/>
                <w:sz w:val="20"/>
                <w:szCs w:val="20"/>
              </w:rPr>
              <w:t>Investigation completed within timeframe</w:t>
            </w:r>
          </w:p>
        </w:tc>
        <w:tc>
          <w:tcPr>
            <w:tcW w:w="1080" w:type="dxa"/>
            <w:tcBorders>
              <w:top w:val="single" w:sz="8" w:space="0" w:color="D9D9D9"/>
            </w:tcBorders>
            <w:shd w:val="clear" w:color="auto" w:fill="FFFFFF"/>
            <w:tcMar>
              <w:top w:w="0" w:type="dxa"/>
              <w:left w:w="0" w:type="dxa"/>
              <w:bottom w:w="0" w:type="dxa"/>
              <w:right w:w="0" w:type="dxa"/>
            </w:tcMar>
            <w:vAlign w:val="center"/>
          </w:tcPr>
          <w:p w14:paraId="08C3A69D" w14:textId="77777777" w:rsidR="00FF3B6A" w:rsidRPr="00851D8A" w:rsidRDefault="00F651DB">
            <w:pPr>
              <w:spacing w:before="40" w:after="40"/>
              <w:ind w:left="100" w:right="100"/>
              <w:jc w:val="right"/>
            </w:pPr>
            <w:r w:rsidRPr="00851D8A">
              <w:rPr>
                <w:rFonts w:eastAsia="Segoe UI" w:cs="Segoe UI"/>
                <w:color w:val="111111"/>
                <w:sz w:val="20"/>
                <w:szCs w:val="20"/>
              </w:rPr>
              <w:t>273</w:t>
            </w:r>
          </w:p>
        </w:tc>
        <w:tc>
          <w:tcPr>
            <w:tcW w:w="1080" w:type="dxa"/>
            <w:tcBorders>
              <w:top w:val="single" w:sz="8" w:space="0" w:color="D9D9D9"/>
              <w:right w:val="single" w:sz="8" w:space="0" w:color="D9D9D9"/>
            </w:tcBorders>
            <w:shd w:val="clear" w:color="auto" w:fill="FFFFFF"/>
            <w:tcMar>
              <w:top w:w="0" w:type="dxa"/>
              <w:left w:w="0" w:type="dxa"/>
              <w:bottom w:w="0" w:type="dxa"/>
              <w:right w:w="0" w:type="dxa"/>
            </w:tcMar>
            <w:vAlign w:val="center"/>
          </w:tcPr>
          <w:p w14:paraId="54DB91BA" w14:textId="77777777" w:rsidR="00FF3B6A" w:rsidRPr="00851D8A" w:rsidRDefault="00F651DB">
            <w:pPr>
              <w:spacing w:before="40" w:after="40"/>
              <w:ind w:left="100" w:right="100"/>
              <w:jc w:val="right"/>
            </w:pPr>
            <w:r w:rsidRPr="00851D8A">
              <w:rPr>
                <w:rFonts w:eastAsia="Segoe UI" w:cs="Segoe UI"/>
                <w:color w:val="111111"/>
                <w:sz w:val="20"/>
                <w:szCs w:val="20"/>
              </w:rPr>
              <w:t>91%</w:t>
            </w:r>
          </w:p>
        </w:tc>
      </w:tr>
      <w:tr w:rsidR="00FF3B6A" w:rsidRPr="00851D8A" w14:paraId="7A088FA4" w14:textId="77777777">
        <w:trPr>
          <w:cantSplit/>
          <w:trHeight w:hRule="exact" w:val="720"/>
          <w:jc w:val="center"/>
        </w:trPr>
        <w:tc>
          <w:tcPr>
            <w:tcW w:w="5040" w:type="dxa"/>
            <w:tcBorders>
              <w:left w:val="single" w:sz="8" w:space="0" w:color="D9D9D9"/>
            </w:tcBorders>
            <w:shd w:val="clear" w:color="auto" w:fill="FFFFFF"/>
            <w:tcMar>
              <w:top w:w="0" w:type="dxa"/>
              <w:left w:w="0" w:type="dxa"/>
              <w:bottom w:w="0" w:type="dxa"/>
              <w:right w:w="0" w:type="dxa"/>
            </w:tcMar>
            <w:vAlign w:val="center"/>
          </w:tcPr>
          <w:p w14:paraId="6E8D5347" w14:textId="77777777" w:rsidR="00FF3B6A" w:rsidRPr="00851D8A" w:rsidRDefault="00F651DB">
            <w:pPr>
              <w:spacing w:before="40" w:after="40"/>
              <w:ind w:left="100" w:right="100"/>
            </w:pPr>
            <w:r w:rsidRPr="00851D8A">
              <w:rPr>
                <w:rFonts w:eastAsia="Segoe UI" w:cs="Segoe UI"/>
                <w:i/>
                <w:color w:val="111111"/>
                <w:sz w:val="20"/>
                <w:szCs w:val="20"/>
              </w:rPr>
              <w:t>Evidence that person conducting investigation has been trained to conduct investigations</w:t>
            </w:r>
          </w:p>
        </w:tc>
        <w:tc>
          <w:tcPr>
            <w:tcW w:w="1080" w:type="dxa"/>
            <w:shd w:val="clear" w:color="auto" w:fill="FFFFFF"/>
            <w:tcMar>
              <w:top w:w="0" w:type="dxa"/>
              <w:left w:w="0" w:type="dxa"/>
              <w:bottom w:w="0" w:type="dxa"/>
              <w:right w:w="0" w:type="dxa"/>
            </w:tcMar>
            <w:vAlign w:val="center"/>
          </w:tcPr>
          <w:p w14:paraId="3EC0C719" w14:textId="77777777" w:rsidR="00FF3B6A" w:rsidRPr="00851D8A" w:rsidRDefault="00F651DB">
            <w:pPr>
              <w:spacing w:before="40" w:after="40"/>
              <w:ind w:left="100" w:right="100"/>
              <w:jc w:val="right"/>
            </w:pPr>
            <w:r w:rsidRPr="00851D8A">
              <w:rPr>
                <w:rFonts w:eastAsia="Segoe UI" w:cs="Segoe UI"/>
                <w:color w:val="111111"/>
                <w:sz w:val="20"/>
                <w:szCs w:val="20"/>
              </w:rPr>
              <w:t>245</w:t>
            </w:r>
          </w:p>
        </w:tc>
        <w:tc>
          <w:tcPr>
            <w:tcW w:w="1080" w:type="dxa"/>
            <w:tcBorders>
              <w:right w:val="single" w:sz="8" w:space="0" w:color="D9D9D9"/>
            </w:tcBorders>
            <w:shd w:val="clear" w:color="auto" w:fill="FFFFFF"/>
            <w:tcMar>
              <w:top w:w="0" w:type="dxa"/>
              <w:left w:w="0" w:type="dxa"/>
              <w:bottom w:w="0" w:type="dxa"/>
              <w:right w:w="0" w:type="dxa"/>
            </w:tcMar>
            <w:vAlign w:val="center"/>
          </w:tcPr>
          <w:p w14:paraId="04A2F11D" w14:textId="77777777" w:rsidR="00FF3B6A" w:rsidRPr="00851D8A" w:rsidRDefault="00F651DB">
            <w:pPr>
              <w:spacing w:before="40" w:after="40"/>
              <w:ind w:left="100" w:right="100"/>
              <w:jc w:val="right"/>
            </w:pPr>
            <w:r w:rsidRPr="00851D8A">
              <w:rPr>
                <w:rFonts w:eastAsia="Segoe UI" w:cs="Segoe UI"/>
                <w:color w:val="111111"/>
                <w:sz w:val="20"/>
                <w:szCs w:val="20"/>
              </w:rPr>
              <w:t>82%</w:t>
            </w:r>
          </w:p>
        </w:tc>
      </w:tr>
      <w:tr w:rsidR="00FF3B6A" w:rsidRPr="00851D8A" w14:paraId="5286AFEA" w14:textId="77777777">
        <w:trPr>
          <w:cantSplit/>
          <w:trHeight w:hRule="exact" w:val="720"/>
          <w:jc w:val="center"/>
        </w:trPr>
        <w:tc>
          <w:tcPr>
            <w:tcW w:w="5040" w:type="dxa"/>
            <w:tcBorders>
              <w:left w:val="single" w:sz="8" w:space="0" w:color="D9D9D9"/>
            </w:tcBorders>
            <w:shd w:val="clear" w:color="auto" w:fill="FFFFFF"/>
            <w:tcMar>
              <w:top w:w="0" w:type="dxa"/>
              <w:left w:w="0" w:type="dxa"/>
              <w:bottom w:w="0" w:type="dxa"/>
              <w:right w:w="0" w:type="dxa"/>
            </w:tcMar>
            <w:vAlign w:val="center"/>
          </w:tcPr>
          <w:p w14:paraId="357B89EE" w14:textId="77777777" w:rsidR="00FF3B6A" w:rsidRPr="00851D8A" w:rsidRDefault="00F651DB">
            <w:pPr>
              <w:spacing w:before="40" w:after="40"/>
              <w:ind w:left="100" w:right="100"/>
            </w:pPr>
            <w:r w:rsidRPr="00851D8A">
              <w:rPr>
                <w:rFonts w:eastAsia="Segoe UI" w:cs="Segoe UI"/>
                <w:i/>
                <w:color w:val="111111"/>
                <w:sz w:val="20"/>
                <w:szCs w:val="20"/>
              </w:rPr>
              <w:t>CHRIS report submitted within 24 hours</w:t>
            </w:r>
          </w:p>
        </w:tc>
        <w:tc>
          <w:tcPr>
            <w:tcW w:w="1080" w:type="dxa"/>
            <w:shd w:val="clear" w:color="auto" w:fill="FFFFFF"/>
            <w:tcMar>
              <w:top w:w="0" w:type="dxa"/>
              <w:left w:w="0" w:type="dxa"/>
              <w:bottom w:w="0" w:type="dxa"/>
              <w:right w:w="0" w:type="dxa"/>
            </w:tcMar>
            <w:vAlign w:val="center"/>
          </w:tcPr>
          <w:p w14:paraId="5F6732F8" w14:textId="77777777" w:rsidR="00FF3B6A" w:rsidRPr="00851D8A" w:rsidRDefault="00F651DB">
            <w:pPr>
              <w:spacing w:before="40" w:after="40"/>
              <w:ind w:left="100" w:right="100"/>
              <w:jc w:val="right"/>
            </w:pPr>
            <w:r w:rsidRPr="00851D8A">
              <w:rPr>
                <w:rFonts w:eastAsia="Segoe UI" w:cs="Segoe UI"/>
                <w:color w:val="111111"/>
                <w:sz w:val="20"/>
                <w:szCs w:val="20"/>
              </w:rPr>
              <w:t>230</w:t>
            </w:r>
          </w:p>
        </w:tc>
        <w:tc>
          <w:tcPr>
            <w:tcW w:w="1080" w:type="dxa"/>
            <w:tcBorders>
              <w:right w:val="single" w:sz="8" w:space="0" w:color="D9D9D9"/>
            </w:tcBorders>
            <w:shd w:val="clear" w:color="auto" w:fill="FFFFFF"/>
            <w:tcMar>
              <w:top w:w="0" w:type="dxa"/>
              <w:left w:w="0" w:type="dxa"/>
              <w:bottom w:w="0" w:type="dxa"/>
              <w:right w:w="0" w:type="dxa"/>
            </w:tcMar>
            <w:vAlign w:val="center"/>
          </w:tcPr>
          <w:p w14:paraId="151B4730" w14:textId="77777777" w:rsidR="00FF3B6A" w:rsidRPr="00851D8A" w:rsidRDefault="00F651DB">
            <w:pPr>
              <w:spacing w:before="40" w:after="40"/>
              <w:ind w:left="100" w:right="100"/>
              <w:jc w:val="right"/>
            </w:pPr>
            <w:r w:rsidRPr="00851D8A">
              <w:rPr>
                <w:rFonts w:eastAsia="Segoe UI" w:cs="Segoe UI"/>
                <w:color w:val="111111"/>
                <w:sz w:val="20"/>
                <w:szCs w:val="20"/>
              </w:rPr>
              <w:t>77%</w:t>
            </w:r>
          </w:p>
        </w:tc>
      </w:tr>
      <w:tr w:rsidR="00AE1EEC" w:rsidRPr="00851D8A" w14:paraId="135112BD" w14:textId="77777777" w:rsidTr="00AE1EEC">
        <w:trPr>
          <w:cantSplit/>
          <w:trHeight w:hRule="exact" w:val="720"/>
          <w:jc w:val="center"/>
        </w:trPr>
        <w:tc>
          <w:tcPr>
            <w:tcW w:w="5040" w:type="dxa"/>
            <w:tcBorders>
              <w:left w:val="single" w:sz="8" w:space="0" w:color="D9D9D9"/>
            </w:tcBorders>
            <w:shd w:val="clear" w:color="auto" w:fill="FFFFFF"/>
            <w:tcMar>
              <w:top w:w="0" w:type="dxa"/>
              <w:left w:w="0" w:type="dxa"/>
              <w:bottom w:w="0" w:type="dxa"/>
              <w:right w:w="0" w:type="dxa"/>
            </w:tcMar>
            <w:vAlign w:val="center"/>
          </w:tcPr>
          <w:p w14:paraId="141775AF" w14:textId="77777777" w:rsidR="00AE1EEC" w:rsidRPr="00851D8A" w:rsidRDefault="00AE1EEC">
            <w:pPr>
              <w:spacing w:before="40" w:after="40"/>
              <w:ind w:left="100" w:right="100"/>
              <w:rPr>
                <w:rFonts w:eastAsia="Segoe UI" w:cs="Segoe UI"/>
                <w:i/>
                <w:color w:val="111111"/>
                <w:sz w:val="20"/>
                <w:szCs w:val="20"/>
              </w:rPr>
            </w:pPr>
            <w:r w:rsidRPr="00851D8A">
              <w:rPr>
                <w:rStyle w:val="normaltextrun"/>
                <w:rFonts w:cs="Segoe UI"/>
                <w:i/>
                <w:iCs/>
                <w:color w:val="111111"/>
                <w:sz w:val="20"/>
                <w:szCs w:val="20"/>
                <w:shd w:val="clear" w:color="auto" w:fill="FFFFFF"/>
              </w:rPr>
              <w:t>Involved staff were interviewed or submitted written statements</w:t>
            </w:r>
          </w:p>
        </w:tc>
        <w:tc>
          <w:tcPr>
            <w:tcW w:w="1080" w:type="dxa"/>
            <w:shd w:val="clear" w:color="auto" w:fill="FFFFFF"/>
            <w:tcMar>
              <w:top w:w="0" w:type="dxa"/>
              <w:left w:w="0" w:type="dxa"/>
              <w:bottom w:w="0" w:type="dxa"/>
              <w:right w:w="0" w:type="dxa"/>
            </w:tcMar>
            <w:vAlign w:val="center"/>
          </w:tcPr>
          <w:p w14:paraId="630A6D99" w14:textId="657A9A40" w:rsidR="00AE1EEC" w:rsidRPr="00851D8A" w:rsidRDefault="00ED1DD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230</w:t>
            </w:r>
          </w:p>
        </w:tc>
        <w:tc>
          <w:tcPr>
            <w:tcW w:w="1080" w:type="dxa"/>
            <w:tcBorders>
              <w:right w:val="single" w:sz="8" w:space="0" w:color="D9D9D9"/>
            </w:tcBorders>
            <w:shd w:val="clear" w:color="auto" w:fill="FFFFFF"/>
            <w:tcMar>
              <w:top w:w="0" w:type="dxa"/>
              <w:left w:w="0" w:type="dxa"/>
              <w:bottom w:w="0" w:type="dxa"/>
              <w:right w:w="0" w:type="dxa"/>
            </w:tcMar>
            <w:vAlign w:val="center"/>
          </w:tcPr>
          <w:p w14:paraId="221B7B2C" w14:textId="39B2F3AD" w:rsidR="00AE1EEC" w:rsidRPr="00851D8A" w:rsidRDefault="00ED1DD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77%</w:t>
            </w:r>
          </w:p>
        </w:tc>
      </w:tr>
      <w:tr w:rsidR="00AE1EEC" w:rsidRPr="00851D8A" w14:paraId="7786D696" w14:textId="77777777">
        <w:trPr>
          <w:cantSplit/>
          <w:trHeight w:hRule="exact" w:val="720"/>
          <w:jc w:val="center"/>
        </w:trPr>
        <w:tc>
          <w:tcPr>
            <w:tcW w:w="5040" w:type="dxa"/>
            <w:tcBorders>
              <w:left w:val="single" w:sz="8" w:space="0" w:color="D9D9D9"/>
              <w:bottom w:val="single" w:sz="8" w:space="0" w:color="D9D9D9"/>
            </w:tcBorders>
            <w:shd w:val="clear" w:color="auto" w:fill="FFFFFF"/>
            <w:tcMar>
              <w:top w:w="0" w:type="dxa"/>
              <w:left w:w="0" w:type="dxa"/>
              <w:bottom w:w="0" w:type="dxa"/>
              <w:right w:w="0" w:type="dxa"/>
            </w:tcMar>
            <w:vAlign w:val="center"/>
          </w:tcPr>
          <w:p w14:paraId="2848A8A4" w14:textId="77777777" w:rsidR="00AE1EEC" w:rsidRPr="00783A22" w:rsidRDefault="00AE1EEC">
            <w:pPr>
              <w:spacing w:before="40" w:after="40"/>
              <w:ind w:left="100" w:right="100"/>
              <w:rPr>
                <w:rFonts w:eastAsia="Segoe UI" w:cs="Segoe UI"/>
                <w:i/>
                <w:color w:val="111111"/>
                <w:sz w:val="20"/>
                <w:szCs w:val="20"/>
              </w:rPr>
            </w:pPr>
            <w:r w:rsidRPr="00783A22">
              <w:rPr>
                <w:rStyle w:val="normaltextrun"/>
                <w:rFonts w:cs="Segoe UI"/>
                <w:i/>
                <w:iCs/>
                <w:color w:val="111111"/>
                <w:sz w:val="20"/>
                <w:szCs w:val="20"/>
                <w:shd w:val="clear" w:color="auto" w:fill="FFFFFF"/>
              </w:rPr>
              <w:t>Involved individual(s) participated in the investigation</w:t>
            </w:r>
          </w:p>
        </w:tc>
        <w:tc>
          <w:tcPr>
            <w:tcW w:w="1080" w:type="dxa"/>
            <w:tcBorders>
              <w:bottom w:val="single" w:sz="8" w:space="0" w:color="D9D9D9"/>
            </w:tcBorders>
            <w:shd w:val="clear" w:color="auto" w:fill="FFFFFF"/>
            <w:tcMar>
              <w:top w:w="0" w:type="dxa"/>
              <w:left w:w="0" w:type="dxa"/>
              <w:bottom w:w="0" w:type="dxa"/>
              <w:right w:w="0" w:type="dxa"/>
            </w:tcMar>
            <w:vAlign w:val="center"/>
          </w:tcPr>
          <w:p w14:paraId="067A561A" w14:textId="7F712D30" w:rsidR="00AE1EEC" w:rsidRPr="00783A22" w:rsidRDefault="00ED1DDE">
            <w:pPr>
              <w:spacing w:before="40" w:after="40"/>
              <w:ind w:left="100" w:right="100"/>
              <w:jc w:val="right"/>
              <w:rPr>
                <w:rFonts w:eastAsia="Segoe UI" w:cs="Segoe UI"/>
                <w:color w:val="111111"/>
                <w:sz w:val="20"/>
                <w:szCs w:val="20"/>
              </w:rPr>
            </w:pPr>
            <w:r w:rsidRPr="00783A22">
              <w:rPr>
                <w:rFonts w:eastAsia="Segoe UI" w:cs="Segoe UI"/>
                <w:color w:val="111111"/>
                <w:sz w:val="20"/>
                <w:szCs w:val="20"/>
              </w:rPr>
              <w:t>137</w:t>
            </w:r>
          </w:p>
        </w:tc>
        <w:tc>
          <w:tcPr>
            <w:tcW w:w="1080" w:type="dxa"/>
            <w:tcBorders>
              <w:bottom w:val="single" w:sz="8" w:space="0" w:color="D9D9D9"/>
              <w:right w:val="single" w:sz="8" w:space="0" w:color="D9D9D9"/>
            </w:tcBorders>
            <w:shd w:val="clear" w:color="auto" w:fill="FFFFFF"/>
            <w:tcMar>
              <w:top w:w="0" w:type="dxa"/>
              <w:left w:w="0" w:type="dxa"/>
              <w:bottom w:w="0" w:type="dxa"/>
              <w:right w:w="0" w:type="dxa"/>
            </w:tcMar>
            <w:vAlign w:val="center"/>
          </w:tcPr>
          <w:p w14:paraId="1E45D19B" w14:textId="0B2E8015" w:rsidR="00AE1EEC" w:rsidRPr="00783A22" w:rsidRDefault="00ED1DDE">
            <w:pPr>
              <w:spacing w:before="40" w:after="40"/>
              <w:ind w:left="100" w:right="100"/>
              <w:jc w:val="right"/>
              <w:rPr>
                <w:rFonts w:eastAsia="Segoe UI" w:cs="Segoe UI"/>
                <w:color w:val="111111"/>
                <w:sz w:val="20"/>
                <w:szCs w:val="20"/>
              </w:rPr>
            </w:pPr>
            <w:r w:rsidRPr="00783A22">
              <w:rPr>
                <w:rFonts w:eastAsia="Segoe UI" w:cs="Segoe UI"/>
                <w:color w:val="111111"/>
                <w:sz w:val="20"/>
                <w:szCs w:val="20"/>
              </w:rPr>
              <w:t>46%</w:t>
            </w:r>
          </w:p>
        </w:tc>
      </w:tr>
    </w:tbl>
    <w:p w14:paraId="0AE329F0" w14:textId="77777777" w:rsidR="00FF3B6A" w:rsidRPr="00851D8A" w:rsidRDefault="00FF3B6A">
      <w:pPr>
        <w:pStyle w:val="FirstParagraph"/>
      </w:pPr>
    </w:p>
    <w:p w14:paraId="47CC8FF6" w14:textId="32088947" w:rsidR="00FF3B6A" w:rsidRDefault="00866667">
      <w:pPr>
        <w:pStyle w:val="BodyText"/>
      </w:pPr>
      <w:r w:rsidRPr="00851D8A">
        <w:t>R</w:t>
      </w:r>
      <w:r w:rsidR="00F651DB" w:rsidRPr="00851D8A">
        <w:t xml:space="preserve">eviewers indicated </w:t>
      </w:r>
      <w:r w:rsidRPr="00851D8A">
        <w:t>that providers did not complete their investigation within the required time frame (10 business days, not including weekends or holidays) in 2</w:t>
      </w:r>
      <w:r w:rsidR="009E3503" w:rsidRPr="00851D8A">
        <w:t>7</w:t>
      </w:r>
      <w:r w:rsidRPr="00851D8A">
        <w:t xml:space="preserve"> cases</w:t>
      </w:r>
      <w:r w:rsidR="00CE2DE6">
        <w:t>, which is down from the 34 cases not completed within the timeframe in CY2019</w:t>
      </w:r>
      <w:r w:rsidRPr="00851D8A">
        <w:t xml:space="preserve">. Providers requested </w:t>
      </w:r>
      <w:r w:rsidR="00F651DB" w:rsidRPr="00851D8A">
        <w:t xml:space="preserve">an extension </w:t>
      </w:r>
      <w:r w:rsidRPr="00851D8A">
        <w:t>to their investigation in 6 cases. For an additional 2 cases, providers requested an extension but it was not</w:t>
      </w:r>
      <w:r w:rsidR="00F651DB" w:rsidRPr="00851D8A">
        <w:t xml:space="preserve"> granted.</w:t>
      </w:r>
    </w:p>
    <w:p w14:paraId="36CF8FB5" w14:textId="000BAFAD" w:rsidR="005008DE" w:rsidRPr="006B22A0" w:rsidRDefault="005008DE">
      <w:pPr>
        <w:pStyle w:val="BodyText"/>
      </w:pPr>
      <w:r w:rsidRPr="006B22A0">
        <w:t xml:space="preserve">The </w:t>
      </w:r>
      <w:r w:rsidR="00A1360F">
        <w:t xml:space="preserve">stand-alone </w:t>
      </w:r>
      <w:r w:rsidRPr="006B22A0">
        <w:t xml:space="preserve">question about whether “Involved individuals participated in the investigation” was new this review </w:t>
      </w:r>
      <w:r w:rsidRPr="006B22A0">
        <w:t>year</w:t>
      </w:r>
      <w:r w:rsidRPr="006B22A0">
        <w:t>.</w:t>
      </w:r>
      <w:r w:rsidRPr="006B22A0">
        <w:t xml:space="preserve">  </w:t>
      </w:r>
      <w:r w:rsidRPr="006B22A0">
        <w:t xml:space="preserve">In previous years, </w:t>
      </w:r>
      <w:r w:rsidRPr="006B22A0">
        <w:t>this question</w:t>
      </w:r>
      <w:r w:rsidRPr="006B22A0">
        <w:t xml:space="preserve"> was paired with </w:t>
      </w:r>
      <w:r w:rsidRPr="006B22A0">
        <w:t xml:space="preserve">another question asking </w:t>
      </w:r>
      <w:r w:rsidRPr="006B22A0">
        <w:t xml:space="preserve">whether “Involved staff </w:t>
      </w:r>
      <w:r w:rsidRPr="006B22A0">
        <w:rPr>
          <w:i/>
        </w:rPr>
        <w:t>and</w:t>
      </w:r>
      <w:r w:rsidRPr="006B22A0">
        <w:t xml:space="preserve"> individuals </w:t>
      </w:r>
      <w:r w:rsidRPr="006B22A0">
        <w:t>were interviewed or submitted written statements</w:t>
      </w:r>
      <w:r w:rsidRPr="006B22A0">
        <w:t xml:space="preserve">”. </w:t>
      </w:r>
      <w:r w:rsidRPr="006B22A0">
        <w:t xml:space="preserve"> </w:t>
      </w:r>
      <w:r w:rsidR="00F8501F">
        <w:t xml:space="preserve">Due to the double-barreled </w:t>
      </w:r>
      <w:r w:rsidRPr="006B22A0">
        <w:t>question being confined to one</w:t>
      </w:r>
      <w:r w:rsidRPr="006B22A0">
        <w:t xml:space="preserve"> answer, and suspicion that providers (for multiple reasons) may not be involving individuals in their investigations, OHR decided to split the one question </w:t>
      </w:r>
      <w:r w:rsidRPr="006B22A0">
        <w:t>into two</w:t>
      </w:r>
      <w:r w:rsidRPr="006B22A0">
        <w:t xml:space="preserve"> unique questions </w:t>
      </w:r>
      <w:r w:rsidRPr="006B22A0">
        <w:t>for a more accurate reflection of both individual and staff participation in the investigation</w:t>
      </w:r>
      <w:r w:rsidRPr="006B22A0">
        <w:t xml:space="preserve">. </w:t>
      </w:r>
    </w:p>
    <w:p w14:paraId="045BC0AB" w14:textId="4C226924" w:rsidR="00B12D2E" w:rsidRPr="006B22A0" w:rsidRDefault="005008DE" w:rsidP="00783A22">
      <w:pPr>
        <w:pStyle w:val="BodyText"/>
      </w:pPr>
      <w:r w:rsidRPr="006B22A0">
        <w:t xml:space="preserve">Notably, </w:t>
      </w:r>
      <w:r w:rsidR="00F651DB" w:rsidRPr="006B22A0">
        <w:t>DBHDS Human Rights Advocates are required to close out cases in the CHRIS data system within 60 days. Reviewers indicated this dead</w:t>
      </w:r>
      <w:bookmarkStart w:id="2" w:name="data-quality-comparison"/>
      <w:r w:rsidR="00B12D2E" w:rsidRPr="006B22A0">
        <w:t>lin</w:t>
      </w:r>
      <w:r w:rsidR="00CE2DE6">
        <w:t xml:space="preserve">e was met in 287 cases (96%).  </w:t>
      </w:r>
    </w:p>
    <w:p w14:paraId="767182E9" w14:textId="02482D70" w:rsidR="00FF3B6A" w:rsidRPr="006B22A0" w:rsidRDefault="00F651DB">
      <w:pPr>
        <w:pStyle w:val="Heading1"/>
      </w:pPr>
      <w:r w:rsidRPr="006B22A0">
        <w:t>Data Quality Comparison</w:t>
      </w:r>
      <w:bookmarkEnd w:id="2"/>
    </w:p>
    <w:p w14:paraId="7BB81ABA" w14:textId="7C180EF7" w:rsidR="00FF3B6A" w:rsidRPr="00851D8A" w:rsidRDefault="00F651DB">
      <w:pPr>
        <w:pStyle w:val="FirstParagraph"/>
      </w:pPr>
      <w:r w:rsidRPr="006B22A0">
        <w:t>Another goal of the CLB is to assess the quality of the</w:t>
      </w:r>
      <w:r w:rsidR="00240BCC" w:rsidRPr="006B22A0">
        <w:t xml:space="preserve"> data entered into CHRIS</w:t>
      </w:r>
      <w:r w:rsidRPr="006B22A0">
        <w:t xml:space="preserve"> compared to the provider’s supporting documentation kept on-site.</w:t>
      </w:r>
      <w:r w:rsidR="00496E49" w:rsidRPr="006B22A0">
        <w:t xml:space="preserve">  As part of the remote review process</w:t>
      </w:r>
      <w:r w:rsidR="00240BCC" w:rsidRPr="006B22A0">
        <w:t xml:space="preserve"> specific to this review cycle</w:t>
      </w:r>
      <w:r w:rsidR="00496E49" w:rsidRPr="006B22A0">
        <w:t xml:space="preserve">, reviewers completed a desk review of the provider’s supporting documentation that the provider submitted via email.  This is referenced as on-site </w:t>
      </w:r>
      <w:r w:rsidR="00CF069A" w:rsidRPr="006B22A0">
        <w:t>documentation</w:t>
      </w:r>
      <w:r w:rsidR="00496E49" w:rsidRPr="006B22A0">
        <w:t xml:space="preserve"> in this data quality comparison.</w:t>
      </w:r>
      <w:r w:rsidR="00496E49">
        <w:t xml:space="preserve"> </w:t>
      </w:r>
    </w:p>
    <w:p w14:paraId="60E65BF6" w14:textId="77777777" w:rsidR="00FF3B6A" w:rsidRPr="00851D8A" w:rsidRDefault="00F651DB">
      <w:pPr>
        <w:pStyle w:val="Heading2"/>
      </w:pPr>
      <w:bookmarkStart w:id="3" w:name="provider-corrective-actions"/>
      <w:r w:rsidRPr="00851D8A">
        <w:t>Provider Corrective Actions</w:t>
      </w:r>
      <w:bookmarkEnd w:id="3"/>
    </w:p>
    <w:p w14:paraId="0062D918" w14:textId="77777777" w:rsidR="00FF3B6A" w:rsidRPr="00851D8A" w:rsidRDefault="00F651DB">
      <w:pPr>
        <w:pStyle w:val="FirstParagraph"/>
      </w:pPr>
      <w:r w:rsidRPr="00851D8A">
        <w:t>If a provider checked a corrective action in CHRIS, reviewers indicated whether they found supporting evidence in the on-site documentation (Table 2). If evidence was found on-site for a provider action but it was never entered into CHRIS, it was labelled as “No data.”</w:t>
      </w:r>
    </w:p>
    <w:p w14:paraId="6B2F1055" w14:textId="77777777" w:rsidR="00FF3B6A" w:rsidRPr="00851D8A" w:rsidRDefault="00F651DB">
      <w:pPr>
        <w:pStyle w:val="Heading6"/>
      </w:pPr>
      <w:bookmarkStart w:id="4" w:name="X5c632d30b307711dbdf6979498f27c5cb74545f"/>
      <w:r w:rsidRPr="00851D8A">
        <w:t>Table 2. Evidence of Corrective Action Taken by Provider</w:t>
      </w:r>
      <w:bookmarkEnd w:id="4"/>
    </w:p>
    <w:tbl>
      <w:tblPr>
        <w:tblW w:w="0" w:type="auto"/>
        <w:jc w:val="center"/>
        <w:tblLayout w:type="fixed"/>
        <w:tblLook w:val="04A0" w:firstRow="1" w:lastRow="0" w:firstColumn="1" w:lastColumn="0" w:noHBand="0" w:noVBand="1"/>
      </w:tblPr>
      <w:tblGrid>
        <w:gridCol w:w="4896"/>
        <w:gridCol w:w="1080"/>
        <w:gridCol w:w="1440"/>
        <w:gridCol w:w="1080"/>
      </w:tblGrid>
      <w:tr w:rsidR="00FF3B6A" w:rsidRPr="00851D8A" w14:paraId="5102117A" w14:textId="77777777">
        <w:trPr>
          <w:cantSplit/>
          <w:trHeight w:hRule="exact" w:val="360"/>
          <w:tblHeader/>
          <w:jc w:val="center"/>
        </w:trPr>
        <w:tc>
          <w:tcPr>
            <w:tcW w:w="4896" w:type="dxa"/>
            <w:tcBorders>
              <w:top w:val="single" w:sz="8" w:space="0" w:color="D9D9D9"/>
              <w:left w:val="single" w:sz="8" w:space="0" w:color="D9D9D9"/>
              <w:bottom w:val="single" w:sz="8" w:space="0" w:color="D9D9D9"/>
            </w:tcBorders>
            <w:shd w:val="clear" w:color="auto" w:fill="30699D"/>
            <w:tcMar>
              <w:top w:w="0" w:type="dxa"/>
              <w:left w:w="0" w:type="dxa"/>
              <w:bottom w:w="0" w:type="dxa"/>
              <w:right w:w="0" w:type="dxa"/>
            </w:tcMar>
            <w:vAlign w:val="center"/>
          </w:tcPr>
          <w:p w14:paraId="079289F1" w14:textId="77777777" w:rsidR="00FF3B6A" w:rsidRPr="00851D8A" w:rsidRDefault="00F651DB">
            <w:pPr>
              <w:spacing w:before="40" w:after="40"/>
              <w:ind w:left="100" w:right="100"/>
            </w:pPr>
            <w:r w:rsidRPr="00851D8A">
              <w:rPr>
                <w:rFonts w:eastAsia="Segoe UI" w:cs="Segoe UI"/>
                <w:b/>
                <w:color w:val="FFFFFF"/>
                <w:sz w:val="20"/>
                <w:szCs w:val="20"/>
              </w:rPr>
              <w:t>Corrective Action</w:t>
            </w:r>
          </w:p>
        </w:tc>
        <w:tc>
          <w:tcPr>
            <w:tcW w:w="1080" w:type="dxa"/>
            <w:tcBorders>
              <w:top w:val="single" w:sz="8" w:space="0" w:color="D9D9D9"/>
              <w:bottom w:val="single" w:sz="8" w:space="0" w:color="D9D9D9"/>
            </w:tcBorders>
            <w:shd w:val="clear" w:color="auto" w:fill="30699D"/>
            <w:tcMar>
              <w:top w:w="0" w:type="dxa"/>
              <w:left w:w="0" w:type="dxa"/>
              <w:bottom w:w="0" w:type="dxa"/>
              <w:right w:w="0" w:type="dxa"/>
            </w:tcMar>
            <w:vAlign w:val="center"/>
          </w:tcPr>
          <w:p w14:paraId="1BC28432" w14:textId="77777777" w:rsidR="00FF3B6A" w:rsidRPr="00851D8A" w:rsidRDefault="00F651DB">
            <w:pPr>
              <w:spacing w:before="40" w:after="40"/>
              <w:ind w:left="100" w:right="100"/>
              <w:jc w:val="right"/>
            </w:pPr>
            <w:r w:rsidRPr="00851D8A">
              <w:rPr>
                <w:rFonts w:eastAsia="Segoe UI" w:cs="Segoe UI"/>
                <w:b/>
                <w:color w:val="FFFFFF"/>
                <w:sz w:val="20"/>
                <w:szCs w:val="20"/>
              </w:rPr>
              <w:t>Evidence</w:t>
            </w:r>
          </w:p>
        </w:tc>
        <w:tc>
          <w:tcPr>
            <w:tcW w:w="1440" w:type="dxa"/>
            <w:tcBorders>
              <w:top w:val="single" w:sz="8" w:space="0" w:color="D9D9D9"/>
              <w:bottom w:val="single" w:sz="8" w:space="0" w:color="D9D9D9"/>
            </w:tcBorders>
            <w:shd w:val="clear" w:color="auto" w:fill="30699D"/>
            <w:tcMar>
              <w:top w:w="0" w:type="dxa"/>
              <w:left w:w="0" w:type="dxa"/>
              <w:bottom w:w="0" w:type="dxa"/>
              <w:right w:w="0" w:type="dxa"/>
            </w:tcMar>
            <w:vAlign w:val="center"/>
          </w:tcPr>
          <w:p w14:paraId="10563AFF" w14:textId="77777777" w:rsidR="00FF3B6A" w:rsidRPr="00851D8A" w:rsidRDefault="00F651DB">
            <w:pPr>
              <w:spacing w:before="40" w:after="40"/>
              <w:ind w:left="100" w:right="100"/>
              <w:jc w:val="right"/>
            </w:pPr>
            <w:r w:rsidRPr="00851D8A">
              <w:rPr>
                <w:rFonts w:eastAsia="Segoe UI" w:cs="Segoe UI"/>
                <w:b/>
                <w:color w:val="FFFFFF"/>
                <w:sz w:val="20"/>
                <w:szCs w:val="20"/>
              </w:rPr>
              <w:t>No Evidence</w:t>
            </w:r>
          </w:p>
        </w:tc>
        <w:tc>
          <w:tcPr>
            <w:tcW w:w="1080" w:type="dxa"/>
            <w:tcBorders>
              <w:top w:val="single" w:sz="8" w:space="0" w:color="D9D9D9"/>
              <w:bottom w:val="single" w:sz="8" w:space="0" w:color="D9D9D9"/>
              <w:right w:val="single" w:sz="8" w:space="0" w:color="D9D9D9"/>
            </w:tcBorders>
            <w:shd w:val="clear" w:color="auto" w:fill="30699D"/>
            <w:tcMar>
              <w:top w:w="0" w:type="dxa"/>
              <w:left w:w="0" w:type="dxa"/>
              <w:bottom w:w="0" w:type="dxa"/>
              <w:right w:w="0" w:type="dxa"/>
            </w:tcMar>
            <w:vAlign w:val="center"/>
          </w:tcPr>
          <w:p w14:paraId="57221164" w14:textId="77777777" w:rsidR="00FF3B6A" w:rsidRPr="00851D8A" w:rsidRDefault="00F651DB">
            <w:pPr>
              <w:spacing w:before="40" w:after="40"/>
              <w:ind w:left="100" w:right="100"/>
              <w:jc w:val="right"/>
            </w:pPr>
            <w:r w:rsidRPr="00851D8A">
              <w:rPr>
                <w:rFonts w:eastAsia="Segoe UI" w:cs="Segoe UI"/>
                <w:b/>
                <w:color w:val="FFFFFF"/>
                <w:sz w:val="20"/>
                <w:szCs w:val="20"/>
              </w:rPr>
              <w:t>No Data</w:t>
            </w:r>
          </w:p>
        </w:tc>
      </w:tr>
      <w:tr w:rsidR="00FF3B6A" w:rsidRPr="00851D8A" w14:paraId="6D1262F1" w14:textId="77777777">
        <w:trPr>
          <w:cantSplit/>
          <w:trHeight w:hRule="exact" w:val="360"/>
          <w:jc w:val="center"/>
        </w:trPr>
        <w:tc>
          <w:tcPr>
            <w:tcW w:w="4896" w:type="dxa"/>
            <w:tcBorders>
              <w:top w:val="single" w:sz="8" w:space="0" w:color="D9D9D9"/>
              <w:left w:val="single" w:sz="8" w:space="0" w:color="D9D9D9"/>
            </w:tcBorders>
            <w:shd w:val="clear" w:color="auto" w:fill="FFFFFF"/>
            <w:tcMar>
              <w:top w:w="0" w:type="dxa"/>
              <w:left w:w="0" w:type="dxa"/>
              <w:bottom w:w="0" w:type="dxa"/>
              <w:right w:w="0" w:type="dxa"/>
            </w:tcMar>
            <w:vAlign w:val="center"/>
          </w:tcPr>
          <w:p w14:paraId="57656197" w14:textId="77777777" w:rsidR="00FF3B6A" w:rsidRPr="00851D8A" w:rsidRDefault="00F651DB">
            <w:pPr>
              <w:spacing w:before="40" w:after="40"/>
              <w:ind w:left="100" w:right="100"/>
            </w:pPr>
            <w:r w:rsidRPr="00851D8A">
              <w:rPr>
                <w:rFonts w:eastAsia="Segoe UI" w:cs="Segoe UI"/>
                <w:i/>
                <w:color w:val="111111"/>
                <w:sz w:val="20"/>
                <w:szCs w:val="20"/>
              </w:rPr>
              <w:t>Reinforce Policy and Procedure</w:t>
            </w:r>
          </w:p>
        </w:tc>
        <w:tc>
          <w:tcPr>
            <w:tcW w:w="1080" w:type="dxa"/>
            <w:tcBorders>
              <w:top w:val="single" w:sz="8" w:space="0" w:color="D9D9D9"/>
            </w:tcBorders>
            <w:shd w:val="clear" w:color="auto" w:fill="FFFFFF"/>
            <w:tcMar>
              <w:top w:w="0" w:type="dxa"/>
              <w:left w:w="0" w:type="dxa"/>
              <w:bottom w:w="0" w:type="dxa"/>
              <w:right w:w="0" w:type="dxa"/>
            </w:tcMar>
            <w:vAlign w:val="center"/>
          </w:tcPr>
          <w:p w14:paraId="675DC9C0" w14:textId="77777777" w:rsidR="00FF3B6A" w:rsidRPr="00851D8A" w:rsidRDefault="00F651DB">
            <w:pPr>
              <w:spacing w:before="40" w:after="40"/>
              <w:ind w:left="100" w:right="100"/>
              <w:jc w:val="right"/>
            </w:pPr>
            <w:r w:rsidRPr="00851D8A">
              <w:rPr>
                <w:rFonts w:eastAsia="Segoe UI" w:cs="Segoe UI"/>
                <w:color w:val="111111"/>
                <w:sz w:val="20"/>
                <w:szCs w:val="20"/>
              </w:rPr>
              <w:t>36</w:t>
            </w:r>
          </w:p>
        </w:tc>
        <w:tc>
          <w:tcPr>
            <w:tcW w:w="1440" w:type="dxa"/>
            <w:tcBorders>
              <w:top w:val="single" w:sz="8" w:space="0" w:color="D9D9D9"/>
            </w:tcBorders>
            <w:shd w:val="clear" w:color="auto" w:fill="FFFFFF"/>
            <w:tcMar>
              <w:top w:w="0" w:type="dxa"/>
              <w:left w:w="0" w:type="dxa"/>
              <w:bottom w:w="0" w:type="dxa"/>
              <w:right w:w="0" w:type="dxa"/>
            </w:tcMar>
            <w:vAlign w:val="center"/>
          </w:tcPr>
          <w:p w14:paraId="1411BA2C" w14:textId="77777777" w:rsidR="00FF3B6A" w:rsidRPr="00851D8A" w:rsidRDefault="00F651DB">
            <w:pPr>
              <w:spacing w:before="40" w:after="40"/>
              <w:ind w:left="100" w:right="100"/>
              <w:jc w:val="right"/>
            </w:pPr>
            <w:r w:rsidRPr="00851D8A">
              <w:rPr>
                <w:rFonts w:eastAsia="Segoe UI" w:cs="Segoe UI"/>
                <w:color w:val="111111"/>
                <w:sz w:val="20"/>
                <w:szCs w:val="20"/>
              </w:rPr>
              <w:t>28</w:t>
            </w:r>
          </w:p>
        </w:tc>
        <w:tc>
          <w:tcPr>
            <w:tcW w:w="1080" w:type="dxa"/>
            <w:tcBorders>
              <w:top w:val="single" w:sz="8" w:space="0" w:color="D9D9D9"/>
              <w:right w:val="single" w:sz="8" w:space="0" w:color="D9D9D9"/>
            </w:tcBorders>
            <w:shd w:val="clear" w:color="auto" w:fill="FFFFFF"/>
            <w:tcMar>
              <w:top w:w="0" w:type="dxa"/>
              <w:left w:w="0" w:type="dxa"/>
              <w:bottom w:w="0" w:type="dxa"/>
              <w:right w:w="0" w:type="dxa"/>
            </w:tcMar>
            <w:vAlign w:val="center"/>
          </w:tcPr>
          <w:p w14:paraId="071FE149" w14:textId="77777777" w:rsidR="00FF3B6A" w:rsidRPr="00851D8A" w:rsidRDefault="00F651DB">
            <w:pPr>
              <w:spacing w:before="40" w:after="40"/>
              <w:ind w:left="100" w:right="100"/>
              <w:jc w:val="right"/>
            </w:pPr>
            <w:r w:rsidRPr="00851D8A">
              <w:rPr>
                <w:rFonts w:eastAsia="Segoe UI" w:cs="Segoe UI"/>
                <w:color w:val="111111"/>
                <w:sz w:val="20"/>
                <w:szCs w:val="20"/>
              </w:rPr>
              <w:t>2</w:t>
            </w:r>
          </w:p>
        </w:tc>
      </w:tr>
      <w:tr w:rsidR="00FF3B6A" w:rsidRPr="00851D8A" w14:paraId="4B963A89"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756AA4F1" w14:textId="77777777" w:rsidR="00FF3B6A" w:rsidRPr="00851D8A" w:rsidRDefault="00F651DB">
            <w:pPr>
              <w:spacing w:before="40" w:after="40"/>
              <w:ind w:left="100" w:right="100"/>
            </w:pPr>
            <w:r w:rsidRPr="00851D8A">
              <w:rPr>
                <w:rFonts w:eastAsia="Segoe UI" w:cs="Segoe UI"/>
                <w:i/>
                <w:color w:val="111111"/>
                <w:sz w:val="20"/>
                <w:szCs w:val="20"/>
              </w:rPr>
              <w:t>Appropriate Staff Action Taken</w:t>
            </w:r>
          </w:p>
        </w:tc>
        <w:tc>
          <w:tcPr>
            <w:tcW w:w="1080" w:type="dxa"/>
            <w:shd w:val="clear" w:color="auto" w:fill="FFFFFF"/>
            <w:tcMar>
              <w:top w:w="0" w:type="dxa"/>
              <w:left w:w="0" w:type="dxa"/>
              <w:bottom w:w="0" w:type="dxa"/>
              <w:right w:w="0" w:type="dxa"/>
            </w:tcMar>
            <w:vAlign w:val="center"/>
          </w:tcPr>
          <w:p w14:paraId="1746B940" w14:textId="77777777" w:rsidR="00FF3B6A" w:rsidRPr="00851D8A" w:rsidRDefault="00F651DB">
            <w:pPr>
              <w:spacing w:before="40" w:after="40"/>
              <w:ind w:left="100" w:right="100"/>
              <w:jc w:val="right"/>
            </w:pPr>
            <w:r w:rsidRPr="00851D8A">
              <w:rPr>
                <w:rFonts w:eastAsia="Segoe UI" w:cs="Segoe UI"/>
                <w:color w:val="111111"/>
                <w:sz w:val="20"/>
                <w:szCs w:val="20"/>
              </w:rPr>
              <w:t>30</w:t>
            </w:r>
          </w:p>
        </w:tc>
        <w:tc>
          <w:tcPr>
            <w:tcW w:w="1440" w:type="dxa"/>
            <w:shd w:val="clear" w:color="auto" w:fill="FFFFFF"/>
            <w:tcMar>
              <w:top w:w="0" w:type="dxa"/>
              <w:left w:w="0" w:type="dxa"/>
              <w:bottom w:w="0" w:type="dxa"/>
              <w:right w:w="0" w:type="dxa"/>
            </w:tcMar>
            <w:vAlign w:val="center"/>
          </w:tcPr>
          <w:p w14:paraId="0F3D7DEE" w14:textId="77777777" w:rsidR="00FF3B6A" w:rsidRPr="00851D8A" w:rsidRDefault="00F651DB">
            <w:pPr>
              <w:spacing w:before="40" w:after="40"/>
              <w:ind w:left="100" w:right="100"/>
              <w:jc w:val="right"/>
            </w:pPr>
            <w:r w:rsidRPr="00851D8A">
              <w:rPr>
                <w:rFonts w:eastAsia="Segoe UI" w:cs="Segoe UI"/>
                <w:color w:val="111111"/>
                <w:sz w:val="20"/>
                <w:szCs w:val="20"/>
              </w:rPr>
              <w:t>41</w:t>
            </w:r>
          </w:p>
        </w:tc>
        <w:tc>
          <w:tcPr>
            <w:tcW w:w="1080" w:type="dxa"/>
            <w:tcBorders>
              <w:right w:val="single" w:sz="8" w:space="0" w:color="D9D9D9"/>
            </w:tcBorders>
            <w:shd w:val="clear" w:color="auto" w:fill="FFFFFF"/>
            <w:tcMar>
              <w:top w:w="0" w:type="dxa"/>
              <w:left w:w="0" w:type="dxa"/>
              <w:bottom w:w="0" w:type="dxa"/>
              <w:right w:w="0" w:type="dxa"/>
            </w:tcMar>
            <w:vAlign w:val="center"/>
          </w:tcPr>
          <w:p w14:paraId="4514D759" w14:textId="77777777" w:rsidR="00FF3B6A" w:rsidRPr="00851D8A" w:rsidRDefault="00F651DB">
            <w:pPr>
              <w:spacing w:before="40" w:after="40"/>
              <w:ind w:left="100" w:right="100"/>
              <w:jc w:val="right"/>
            </w:pPr>
            <w:r w:rsidRPr="00851D8A">
              <w:rPr>
                <w:rFonts w:eastAsia="Segoe UI" w:cs="Segoe UI"/>
                <w:color w:val="111111"/>
                <w:sz w:val="20"/>
                <w:szCs w:val="20"/>
              </w:rPr>
              <w:t>17</w:t>
            </w:r>
          </w:p>
        </w:tc>
      </w:tr>
      <w:tr w:rsidR="00FF3B6A" w:rsidRPr="00851D8A" w14:paraId="31F39740"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D50855D" w14:textId="77777777" w:rsidR="00FF3B6A" w:rsidRPr="00851D8A" w:rsidRDefault="00F651DB">
            <w:pPr>
              <w:spacing w:before="40" w:after="40"/>
              <w:ind w:left="100" w:right="100"/>
            </w:pPr>
            <w:r w:rsidRPr="00851D8A">
              <w:rPr>
                <w:rFonts w:eastAsia="Segoe UI" w:cs="Segoe UI"/>
                <w:i/>
                <w:color w:val="111111"/>
                <w:sz w:val="20"/>
                <w:szCs w:val="20"/>
              </w:rPr>
              <w:t>Train Individual Staff</w:t>
            </w:r>
          </w:p>
        </w:tc>
        <w:tc>
          <w:tcPr>
            <w:tcW w:w="1080" w:type="dxa"/>
            <w:shd w:val="clear" w:color="auto" w:fill="FFFFFF"/>
            <w:tcMar>
              <w:top w:w="0" w:type="dxa"/>
              <w:left w:w="0" w:type="dxa"/>
              <w:bottom w:w="0" w:type="dxa"/>
              <w:right w:w="0" w:type="dxa"/>
            </w:tcMar>
            <w:vAlign w:val="center"/>
          </w:tcPr>
          <w:p w14:paraId="75193AB1" w14:textId="77777777" w:rsidR="00FF3B6A" w:rsidRPr="00851D8A" w:rsidRDefault="00F651DB">
            <w:pPr>
              <w:spacing w:before="40" w:after="40"/>
              <w:ind w:left="100" w:right="100"/>
              <w:jc w:val="right"/>
            </w:pPr>
            <w:r w:rsidRPr="00851D8A">
              <w:rPr>
                <w:rFonts w:eastAsia="Segoe UI" w:cs="Segoe UI"/>
                <w:color w:val="111111"/>
                <w:sz w:val="20"/>
                <w:szCs w:val="20"/>
              </w:rPr>
              <w:t>25</w:t>
            </w:r>
          </w:p>
        </w:tc>
        <w:tc>
          <w:tcPr>
            <w:tcW w:w="1440" w:type="dxa"/>
            <w:shd w:val="clear" w:color="auto" w:fill="FFFFFF"/>
            <w:tcMar>
              <w:top w:w="0" w:type="dxa"/>
              <w:left w:w="0" w:type="dxa"/>
              <w:bottom w:w="0" w:type="dxa"/>
              <w:right w:w="0" w:type="dxa"/>
            </w:tcMar>
            <w:vAlign w:val="center"/>
          </w:tcPr>
          <w:p w14:paraId="63ED8672" w14:textId="77777777" w:rsidR="00FF3B6A" w:rsidRPr="00851D8A" w:rsidRDefault="00F651DB">
            <w:pPr>
              <w:spacing w:before="40" w:after="40"/>
              <w:ind w:left="100" w:right="100"/>
              <w:jc w:val="right"/>
            </w:pPr>
            <w:r w:rsidRPr="00851D8A">
              <w:rPr>
                <w:rFonts w:eastAsia="Segoe UI" w:cs="Segoe UI"/>
                <w:color w:val="111111"/>
                <w:sz w:val="20"/>
                <w:szCs w:val="20"/>
              </w:rPr>
              <w:t>19</w:t>
            </w:r>
          </w:p>
        </w:tc>
        <w:tc>
          <w:tcPr>
            <w:tcW w:w="1080" w:type="dxa"/>
            <w:tcBorders>
              <w:right w:val="single" w:sz="8" w:space="0" w:color="D9D9D9"/>
            </w:tcBorders>
            <w:shd w:val="clear" w:color="auto" w:fill="FFFFFF"/>
            <w:tcMar>
              <w:top w:w="0" w:type="dxa"/>
              <w:left w:w="0" w:type="dxa"/>
              <w:bottom w:w="0" w:type="dxa"/>
              <w:right w:w="0" w:type="dxa"/>
            </w:tcMar>
            <w:vAlign w:val="center"/>
          </w:tcPr>
          <w:p w14:paraId="2A4B9DDB" w14:textId="77777777" w:rsidR="00FF3B6A" w:rsidRPr="00851D8A" w:rsidRDefault="00F651DB">
            <w:pPr>
              <w:spacing w:before="40" w:after="40"/>
              <w:ind w:left="100" w:right="100"/>
              <w:jc w:val="right"/>
            </w:pPr>
            <w:r w:rsidRPr="00851D8A">
              <w:rPr>
                <w:rFonts w:eastAsia="Segoe UI" w:cs="Segoe UI"/>
                <w:color w:val="111111"/>
                <w:sz w:val="20"/>
                <w:szCs w:val="20"/>
              </w:rPr>
              <w:t>7</w:t>
            </w:r>
          </w:p>
        </w:tc>
      </w:tr>
      <w:tr w:rsidR="00FF3B6A" w:rsidRPr="00851D8A" w14:paraId="146814B4"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68FE5108" w14:textId="77777777" w:rsidR="00FF3B6A" w:rsidRPr="00851D8A" w:rsidRDefault="00F651DB">
            <w:pPr>
              <w:spacing w:before="40" w:after="40"/>
              <w:ind w:left="100" w:right="100"/>
            </w:pPr>
            <w:r w:rsidRPr="00851D8A">
              <w:rPr>
                <w:rFonts w:eastAsia="Segoe UI" w:cs="Segoe UI"/>
                <w:i/>
                <w:color w:val="111111"/>
                <w:sz w:val="20"/>
                <w:szCs w:val="20"/>
              </w:rPr>
              <w:t>Train All Staff</w:t>
            </w:r>
          </w:p>
        </w:tc>
        <w:tc>
          <w:tcPr>
            <w:tcW w:w="1080" w:type="dxa"/>
            <w:shd w:val="clear" w:color="auto" w:fill="FFFFFF"/>
            <w:tcMar>
              <w:top w:w="0" w:type="dxa"/>
              <w:left w:w="0" w:type="dxa"/>
              <w:bottom w:w="0" w:type="dxa"/>
              <w:right w:w="0" w:type="dxa"/>
            </w:tcMar>
            <w:vAlign w:val="center"/>
          </w:tcPr>
          <w:p w14:paraId="7F77977D" w14:textId="77777777" w:rsidR="00FF3B6A" w:rsidRPr="00851D8A" w:rsidRDefault="00F651DB">
            <w:pPr>
              <w:spacing w:before="40" w:after="40"/>
              <w:ind w:left="100" w:right="100"/>
              <w:jc w:val="right"/>
            </w:pPr>
            <w:r w:rsidRPr="00851D8A">
              <w:rPr>
                <w:rFonts w:eastAsia="Segoe UI" w:cs="Segoe UI"/>
                <w:color w:val="111111"/>
                <w:sz w:val="20"/>
                <w:szCs w:val="20"/>
              </w:rPr>
              <w:t>19</w:t>
            </w:r>
          </w:p>
        </w:tc>
        <w:tc>
          <w:tcPr>
            <w:tcW w:w="1440" w:type="dxa"/>
            <w:shd w:val="clear" w:color="auto" w:fill="FFFFFF"/>
            <w:tcMar>
              <w:top w:w="0" w:type="dxa"/>
              <w:left w:w="0" w:type="dxa"/>
              <w:bottom w:w="0" w:type="dxa"/>
              <w:right w:w="0" w:type="dxa"/>
            </w:tcMar>
            <w:vAlign w:val="center"/>
          </w:tcPr>
          <w:p w14:paraId="29FB92B8" w14:textId="77777777" w:rsidR="00FF3B6A" w:rsidRPr="00851D8A" w:rsidRDefault="00F651DB">
            <w:pPr>
              <w:spacing w:before="40" w:after="40"/>
              <w:ind w:left="100" w:right="100"/>
              <w:jc w:val="right"/>
            </w:pPr>
            <w:r w:rsidRPr="00851D8A">
              <w:rPr>
                <w:rFonts w:eastAsia="Segoe UI" w:cs="Segoe UI"/>
                <w:color w:val="111111"/>
                <w:sz w:val="20"/>
                <w:szCs w:val="20"/>
              </w:rPr>
              <w:t>25</w:t>
            </w:r>
          </w:p>
        </w:tc>
        <w:tc>
          <w:tcPr>
            <w:tcW w:w="1080" w:type="dxa"/>
            <w:tcBorders>
              <w:right w:val="single" w:sz="8" w:space="0" w:color="D9D9D9"/>
            </w:tcBorders>
            <w:shd w:val="clear" w:color="auto" w:fill="FFFFFF"/>
            <w:tcMar>
              <w:top w:w="0" w:type="dxa"/>
              <w:left w:w="0" w:type="dxa"/>
              <w:bottom w:w="0" w:type="dxa"/>
              <w:right w:w="0" w:type="dxa"/>
            </w:tcMar>
            <w:vAlign w:val="center"/>
          </w:tcPr>
          <w:p w14:paraId="33385D82" w14:textId="77777777" w:rsidR="00FF3B6A" w:rsidRPr="00851D8A" w:rsidRDefault="00F651DB">
            <w:pPr>
              <w:spacing w:before="40" w:after="40"/>
              <w:ind w:left="100" w:right="100"/>
              <w:jc w:val="right"/>
            </w:pPr>
            <w:r w:rsidRPr="00851D8A">
              <w:rPr>
                <w:rFonts w:eastAsia="Segoe UI" w:cs="Segoe UI"/>
                <w:color w:val="111111"/>
                <w:sz w:val="20"/>
                <w:szCs w:val="20"/>
              </w:rPr>
              <w:t>6</w:t>
            </w:r>
          </w:p>
        </w:tc>
      </w:tr>
      <w:tr w:rsidR="00FF3B6A" w:rsidRPr="00851D8A" w14:paraId="1E739B71"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77EEF403" w14:textId="77777777" w:rsidR="00FF3B6A" w:rsidRPr="00851D8A" w:rsidRDefault="00F651DB">
            <w:pPr>
              <w:spacing w:before="40" w:after="40"/>
              <w:ind w:left="100" w:right="100"/>
            </w:pPr>
            <w:r w:rsidRPr="00851D8A">
              <w:rPr>
                <w:rFonts w:eastAsia="Segoe UI" w:cs="Segoe UI"/>
                <w:i/>
                <w:color w:val="111111"/>
                <w:sz w:val="20"/>
                <w:szCs w:val="20"/>
              </w:rPr>
              <w:t>Supervisory/Administrative Staff Change/Action</w:t>
            </w:r>
          </w:p>
        </w:tc>
        <w:tc>
          <w:tcPr>
            <w:tcW w:w="1080" w:type="dxa"/>
            <w:shd w:val="clear" w:color="auto" w:fill="FFFFFF"/>
            <w:tcMar>
              <w:top w:w="0" w:type="dxa"/>
              <w:left w:w="0" w:type="dxa"/>
              <w:bottom w:w="0" w:type="dxa"/>
              <w:right w:w="0" w:type="dxa"/>
            </w:tcMar>
            <w:vAlign w:val="center"/>
          </w:tcPr>
          <w:p w14:paraId="251400E4" w14:textId="77777777" w:rsidR="00FF3B6A" w:rsidRPr="00851D8A" w:rsidRDefault="00F651DB">
            <w:pPr>
              <w:spacing w:before="40" w:after="40"/>
              <w:ind w:left="100" w:right="100"/>
              <w:jc w:val="right"/>
            </w:pPr>
            <w:r w:rsidRPr="00851D8A">
              <w:rPr>
                <w:rFonts w:eastAsia="Segoe UI" w:cs="Segoe UI"/>
                <w:color w:val="111111"/>
                <w:sz w:val="20"/>
                <w:szCs w:val="20"/>
              </w:rPr>
              <w:t>7</w:t>
            </w:r>
          </w:p>
        </w:tc>
        <w:tc>
          <w:tcPr>
            <w:tcW w:w="1440" w:type="dxa"/>
            <w:shd w:val="clear" w:color="auto" w:fill="FFFFFF"/>
            <w:tcMar>
              <w:top w:w="0" w:type="dxa"/>
              <w:left w:w="0" w:type="dxa"/>
              <w:bottom w:w="0" w:type="dxa"/>
              <w:right w:w="0" w:type="dxa"/>
            </w:tcMar>
            <w:vAlign w:val="center"/>
          </w:tcPr>
          <w:p w14:paraId="0B72F097" w14:textId="77777777" w:rsidR="00FF3B6A" w:rsidRPr="00851D8A" w:rsidRDefault="00F651DB">
            <w:pPr>
              <w:spacing w:before="40" w:after="40"/>
              <w:ind w:left="100" w:right="100"/>
              <w:jc w:val="right"/>
            </w:pPr>
            <w:r w:rsidRPr="00851D8A">
              <w:rPr>
                <w:rFonts w:eastAsia="Segoe UI" w:cs="Segoe UI"/>
                <w:color w:val="111111"/>
                <w:sz w:val="20"/>
                <w:szCs w:val="20"/>
              </w:rPr>
              <w:t>1</w:t>
            </w:r>
          </w:p>
        </w:tc>
        <w:tc>
          <w:tcPr>
            <w:tcW w:w="1080" w:type="dxa"/>
            <w:tcBorders>
              <w:right w:val="single" w:sz="8" w:space="0" w:color="D9D9D9"/>
            </w:tcBorders>
            <w:shd w:val="clear" w:color="auto" w:fill="FFFFFF"/>
            <w:tcMar>
              <w:top w:w="0" w:type="dxa"/>
              <w:left w:w="0" w:type="dxa"/>
              <w:bottom w:w="0" w:type="dxa"/>
              <w:right w:w="0" w:type="dxa"/>
            </w:tcMar>
            <w:vAlign w:val="center"/>
          </w:tcPr>
          <w:p w14:paraId="53848874" w14:textId="77777777" w:rsidR="00FF3B6A" w:rsidRPr="00851D8A" w:rsidRDefault="00F651DB">
            <w:pPr>
              <w:spacing w:before="40" w:after="40"/>
              <w:ind w:left="100" w:right="100"/>
              <w:jc w:val="right"/>
            </w:pPr>
            <w:r w:rsidRPr="00851D8A">
              <w:rPr>
                <w:rFonts w:eastAsia="Segoe UI" w:cs="Segoe UI"/>
                <w:color w:val="111111"/>
                <w:sz w:val="20"/>
                <w:szCs w:val="20"/>
              </w:rPr>
              <w:t>0</w:t>
            </w:r>
          </w:p>
        </w:tc>
      </w:tr>
      <w:tr w:rsidR="00FF3B6A" w:rsidRPr="00851D8A" w14:paraId="6CE74D0A"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41EF499" w14:textId="77777777" w:rsidR="00FF3B6A" w:rsidRPr="00851D8A" w:rsidRDefault="00F651DB">
            <w:pPr>
              <w:spacing w:before="40" w:after="40"/>
              <w:ind w:left="100" w:right="100"/>
            </w:pPr>
            <w:r w:rsidRPr="00851D8A">
              <w:rPr>
                <w:rFonts w:eastAsia="Segoe UI" w:cs="Segoe UI"/>
                <w:i/>
                <w:color w:val="111111"/>
                <w:sz w:val="20"/>
                <w:szCs w:val="20"/>
              </w:rPr>
              <w:t>Appropriate Notification to Office of Licensing Made</w:t>
            </w:r>
          </w:p>
        </w:tc>
        <w:tc>
          <w:tcPr>
            <w:tcW w:w="1080" w:type="dxa"/>
            <w:shd w:val="clear" w:color="auto" w:fill="FFFFFF"/>
            <w:tcMar>
              <w:top w:w="0" w:type="dxa"/>
              <w:left w:w="0" w:type="dxa"/>
              <w:bottom w:w="0" w:type="dxa"/>
              <w:right w:w="0" w:type="dxa"/>
            </w:tcMar>
            <w:vAlign w:val="center"/>
          </w:tcPr>
          <w:p w14:paraId="429A746A" w14:textId="77777777" w:rsidR="00FF3B6A" w:rsidRPr="00851D8A" w:rsidRDefault="00F651DB">
            <w:pPr>
              <w:spacing w:before="40" w:after="40"/>
              <w:ind w:left="100" w:right="100"/>
              <w:jc w:val="right"/>
            </w:pPr>
            <w:r w:rsidRPr="00851D8A">
              <w:rPr>
                <w:rFonts w:eastAsia="Segoe UI" w:cs="Segoe UI"/>
                <w:color w:val="111111"/>
                <w:sz w:val="20"/>
                <w:szCs w:val="20"/>
              </w:rPr>
              <w:t>7</w:t>
            </w:r>
          </w:p>
        </w:tc>
        <w:tc>
          <w:tcPr>
            <w:tcW w:w="1440" w:type="dxa"/>
            <w:shd w:val="clear" w:color="auto" w:fill="FFFFFF"/>
            <w:tcMar>
              <w:top w:w="0" w:type="dxa"/>
              <w:left w:w="0" w:type="dxa"/>
              <w:bottom w:w="0" w:type="dxa"/>
              <w:right w:w="0" w:type="dxa"/>
            </w:tcMar>
            <w:vAlign w:val="center"/>
          </w:tcPr>
          <w:p w14:paraId="3A70D063" w14:textId="77777777" w:rsidR="00FF3B6A" w:rsidRPr="00851D8A" w:rsidRDefault="00F651DB">
            <w:pPr>
              <w:spacing w:before="40" w:after="40"/>
              <w:ind w:left="100" w:right="100"/>
              <w:jc w:val="right"/>
            </w:pPr>
            <w:r w:rsidRPr="00851D8A">
              <w:rPr>
                <w:rFonts w:eastAsia="Segoe UI" w:cs="Segoe UI"/>
                <w:color w:val="111111"/>
                <w:sz w:val="20"/>
                <w:szCs w:val="20"/>
              </w:rPr>
              <w:t>20</w:t>
            </w:r>
          </w:p>
        </w:tc>
        <w:tc>
          <w:tcPr>
            <w:tcW w:w="1080" w:type="dxa"/>
            <w:tcBorders>
              <w:right w:val="single" w:sz="8" w:space="0" w:color="D9D9D9"/>
            </w:tcBorders>
            <w:shd w:val="clear" w:color="auto" w:fill="FFFFFF"/>
            <w:tcMar>
              <w:top w:w="0" w:type="dxa"/>
              <w:left w:w="0" w:type="dxa"/>
              <w:bottom w:w="0" w:type="dxa"/>
              <w:right w:w="0" w:type="dxa"/>
            </w:tcMar>
            <w:vAlign w:val="center"/>
          </w:tcPr>
          <w:p w14:paraId="14F7438E" w14:textId="77777777" w:rsidR="00FF3B6A" w:rsidRPr="00851D8A" w:rsidRDefault="00F651DB">
            <w:pPr>
              <w:spacing w:before="40" w:after="40"/>
              <w:ind w:left="100" w:right="100"/>
              <w:jc w:val="right"/>
            </w:pPr>
            <w:r w:rsidRPr="00851D8A">
              <w:rPr>
                <w:rFonts w:eastAsia="Segoe UI" w:cs="Segoe UI"/>
                <w:color w:val="111111"/>
                <w:sz w:val="20"/>
                <w:szCs w:val="20"/>
              </w:rPr>
              <w:t>3</w:t>
            </w:r>
          </w:p>
        </w:tc>
      </w:tr>
      <w:tr w:rsidR="00FF3B6A" w:rsidRPr="00851D8A" w14:paraId="78E74780"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00836A27" w14:textId="77777777" w:rsidR="00FF3B6A" w:rsidRPr="00851D8A" w:rsidRDefault="00F651DB">
            <w:pPr>
              <w:spacing w:before="40" w:after="40"/>
              <w:ind w:left="100" w:right="100"/>
            </w:pPr>
            <w:r w:rsidRPr="00851D8A">
              <w:rPr>
                <w:rFonts w:eastAsia="Segoe UI" w:cs="Segoe UI"/>
                <w:i/>
                <w:color w:val="111111"/>
                <w:sz w:val="20"/>
                <w:szCs w:val="20"/>
              </w:rPr>
              <w:t>Increase Supervision (Change Patterns of Supervision)</w:t>
            </w:r>
          </w:p>
        </w:tc>
        <w:tc>
          <w:tcPr>
            <w:tcW w:w="1080" w:type="dxa"/>
            <w:shd w:val="clear" w:color="auto" w:fill="FFFFFF"/>
            <w:tcMar>
              <w:top w:w="0" w:type="dxa"/>
              <w:left w:w="0" w:type="dxa"/>
              <w:bottom w:w="0" w:type="dxa"/>
              <w:right w:w="0" w:type="dxa"/>
            </w:tcMar>
            <w:vAlign w:val="center"/>
          </w:tcPr>
          <w:p w14:paraId="4C8C14D6" w14:textId="77777777" w:rsidR="00FF3B6A" w:rsidRPr="00851D8A" w:rsidRDefault="00F651DB">
            <w:pPr>
              <w:spacing w:before="40" w:after="40"/>
              <w:ind w:left="100" w:right="100"/>
              <w:jc w:val="right"/>
            </w:pPr>
            <w:r w:rsidRPr="00851D8A">
              <w:rPr>
                <w:rFonts w:eastAsia="Segoe UI" w:cs="Segoe UI"/>
                <w:color w:val="111111"/>
                <w:sz w:val="20"/>
                <w:szCs w:val="20"/>
              </w:rPr>
              <w:t>5</w:t>
            </w:r>
          </w:p>
        </w:tc>
        <w:tc>
          <w:tcPr>
            <w:tcW w:w="1440" w:type="dxa"/>
            <w:shd w:val="clear" w:color="auto" w:fill="FFFFFF"/>
            <w:tcMar>
              <w:top w:w="0" w:type="dxa"/>
              <w:left w:w="0" w:type="dxa"/>
              <w:bottom w:w="0" w:type="dxa"/>
              <w:right w:w="0" w:type="dxa"/>
            </w:tcMar>
            <w:vAlign w:val="center"/>
          </w:tcPr>
          <w:p w14:paraId="35083833" w14:textId="77777777" w:rsidR="00FF3B6A" w:rsidRPr="00851D8A" w:rsidRDefault="00F651DB">
            <w:pPr>
              <w:spacing w:before="40" w:after="40"/>
              <w:ind w:left="100" w:right="100"/>
              <w:jc w:val="right"/>
            </w:pPr>
            <w:r w:rsidRPr="00851D8A">
              <w:rPr>
                <w:rFonts w:eastAsia="Segoe UI" w:cs="Segoe UI"/>
                <w:color w:val="111111"/>
                <w:sz w:val="20"/>
                <w:szCs w:val="20"/>
              </w:rPr>
              <w:t>18</w:t>
            </w:r>
          </w:p>
        </w:tc>
        <w:tc>
          <w:tcPr>
            <w:tcW w:w="1080" w:type="dxa"/>
            <w:tcBorders>
              <w:right w:val="single" w:sz="8" w:space="0" w:color="D9D9D9"/>
            </w:tcBorders>
            <w:shd w:val="clear" w:color="auto" w:fill="FFFFFF"/>
            <w:tcMar>
              <w:top w:w="0" w:type="dxa"/>
              <w:left w:w="0" w:type="dxa"/>
              <w:bottom w:w="0" w:type="dxa"/>
              <w:right w:w="0" w:type="dxa"/>
            </w:tcMar>
            <w:vAlign w:val="center"/>
          </w:tcPr>
          <w:p w14:paraId="1760D565" w14:textId="77777777" w:rsidR="00FF3B6A" w:rsidRPr="00851D8A" w:rsidRDefault="00F651DB">
            <w:pPr>
              <w:spacing w:before="40" w:after="40"/>
              <w:ind w:left="100" w:right="100"/>
              <w:jc w:val="right"/>
            </w:pPr>
            <w:r w:rsidRPr="00851D8A">
              <w:rPr>
                <w:rFonts w:eastAsia="Segoe UI" w:cs="Segoe UI"/>
                <w:color w:val="111111"/>
                <w:sz w:val="20"/>
                <w:szCs w:val="20"/>
              </w:rPr>
              <w:t>0</w:t>
            </w:r>
          </w:p>
        </w:tc>
      </w:tr>
      <w:tr w:rsidR="00FF3B6A" w:rsidRPr="00851D8A" w14:paraId="293C956B"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BAEE219" w14:textId="77777777" w:rsidR="00FF3B6A" w:rsidRPr="00851D8A" w:rsidRDefault="00F651DB">
            <w:pPr>
              <w:spacing w:before="40" w:after="40"/>
              <w:ind w:left="100" w:right="100"/>
            </w:pPr>
            <w:r w:rsidRPr="00851D8A">
              <w:rPr>
                <w:rFonts w:eastAsia="Segoe UI" w:cs="Segoe UI"/>
                <w:i/>
                <w:color w:val="111111"/>
                <w:sz w:val="20"/>
                <w:szCs w:val="20"/>
              </w:rPr>
              <w:t>Environmental Modification</w:t>
            </w:r>
          </w:p>
        </w:tc>
        <w:tc>
          <w:tcPr>
            <w:tcW w:w="1080" w:type="dxa"/>
            <w:shd w:val="clear" w:color="auto" w:fill="FFFFFF"/>
            <w:tcMar>
              <w:top w:w="0" w:type="dxa"/>
              <w:left w:w="0" w:type="dxa"/>
              <w:bottom w:w="0" w:type="dxa"/>
              <w:right w:w="0" w:type="dxa"/>
            </w:tcMar>
            <w:vAlign w:val="center"/>
          </w:tcPr>
          <w:p w14:paraId="5F24C8CC" w14:textId="77777777" w:rsidR="00FF3B6A" w:rsidRPr="00851D8A" w:rsidRDefault="00F651DB">
            <w:pPr>
              <w:spacing w:before="40" w:after="40"/>
              <w:ind w:left="100" w:right="100"/>
              <w:jc w:val="right"/>
            </w:pPr>
            <w:r w:rsidRPr="00851D8A">
              <w:rPr>
                <w:rFonts w:eastAsia="Segoe UI" w:cs="Segoe UI"/>
                <w:color w:val="111111"/>
                <w:sz w:val="20"/>
                <w:szCs w:val="20"/>
              </w:rPr>
              <w:t>5</w:t>
            </w:r>
          </w:p>
        </w:tc>
        <w:tc>
          <w:tcPr>
            <w:tcW w:w="1440" w:type="dxa"/>
            <w:shd w:val="clear" w:color="auto" w:fill="FFFFFF"/>
            <w:tcMar>
              <w:top w:w="0" w:type="dxa"/>
              <w:left w:w="0" w:type="dxa"/>
              <w:bottom w:w="0" w:type="dxa"/>
              <w:right w:w="0" w:type="dxa"/>
            </w:tcMar>
            <w:vAlign w:val="center"/>
          </w:tcPr>
          <w:p w14:paraId="213833A5" w14:textId="77777777" w:rsidR="00FF3B6A" w:rsidRPr="00851D8A" w:rsidRDefault="00F651DB">
            <w:pPr>
              <w:spacing w:before="40" w:after="40"/>
              <w:ind w:left="100" w:right="100"/>
              <w:jc w:val="right"/>
            </w:pPr>
            <w:r w:rsidRPr="00851D8A">
              <w:rPr>
                <w:rFonts w:eastAsia="Segoe UI" w:cs="Segoe UI"/>
                <w:color w:val="111111"/>
                <w:sz w:val="20"/>
                <w:szCs w:val="20"/>
              </w:rPr>
              <w:t>5</w:t>
            </w:r>
          </w:p>
        </w:tc>
        <w:tc>
          <w:tcPr>
            <w:tcW w:w="1080" w:type="dxa"/>
            <w:tcBorders>
              <w:right w:val="single" w:sz="8" w:space="0" w:color="D9D9D9"/>
            </w:tcBorders>
            <w:shd w:val="clear" w:color="auto" w:fill="FFFFFF"/>
            <w:tcMar>
              <w:top w:w="0" w:type="dxa"/>
              <w:left w:w="0" w:type="dxa"/>
              <w:bottom w:w="0" w:type="dxa"/>
              <w:right w:w="0" w:type="dxa"/>
            </w:tcMar>
            <w:vAlign w:val="center"/>
          </w:tcPr>
          <w:p w14:paraId="04220C40" w14:textId="77777777" w:rsidR="00FF3B6A" w:rsidRPr="00851D8A" w:rsidRDefault="00F651DB">
            <w:pPr>
              <w:spacing w:before="40" w:after="40"/>
              <w:ind w:left="100" w:right="100"/>
              <w:jc w:val="right"/>
            </w:pPr>
            <w:r w:rsidRPr="00851D8A">
              <w:rPr>
                <w:rFonts w:eastAsia="Segoe UI" w:cs="Segoe UI"/>
                <w:color w:val="111111"/>
                <w:sz w:val="20"/>
                <w:szCs w:val="20"/>
              </w:rPr>
              <w:t>2</w:t>
            </w:r>
          </w:p>
        </w:tc>
      </w:tr>
      <w:tr w:rsidR="00FF3B6A" w:rsidRPr="00851D8A" w14:paraId="4D189ED1"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143CFD1F" w14:textId="77777777" w:rsidR="00FF3B6A" w:rsidRPr="00851D8A" w:rsidRDefault="00F651DB">
            <w:pPr>
              <w:spacing w:before="40" w:after="40"/>
              <w:ind w:left="100" w:right="100"/>
            </w:pPr>
            <w:r w:rsidRPr="00851D8A">
              <w:rPr>
                <w:rFonts w:eastAsia="Segoe UI" w:cs="Segoe UI"/>
                <w:i/>
                <w:color w:val="111111"/>
                <w:sz w:val="20"/>
                <w:szCs w:val="20"/>
              </w:rPr>
              <w:t>Individual(s) were Moved</w:t>
            </w:r>
          </w:p>
        </w:tc>
        <w:tc>
          <w:tcPr>
            <w:tcW w:w="1080" w:type="dxa"/>
            <w:shd w:val="clear" w:color="auto" w:fill="FFFFFF"/>
            <w:tcMar>
              <w:top w:w="0" w:type="dxa"/>
              <w:left w:w="0" w:type="dxa"/>
              <w:bottom w:w="0" w:type="dxa"/>
              <w:right w:w="0" w:type="dxa"/>
            </w:tcMar>
            <w:vAlign w:val="center"/>
          </w:tcPr>
          <w:p w14:paraId="02C73A2C" w14:textId="77777777" w:rsidR="00FF3B6A" w:rsidRPr="00851D8A" w:rsidRDefault="00F651DB">
            <w:pPr>
              <w:spacing w:before="40" w:after="40"/>
              <w:ind w:left="100" w:right="100"/>
              <w:jc w:val="right"/>
            </w:pPr>
            <w:r w:rsidRPr="00851D8A">
              <w:rPr>
                <w:rFonts w:eastAsia="Segoe UI" w:cs="Segoe UI"/>
                <w:color w:val="111111"/>
                <w:sz w:val="20"/>
                <w:szCs w:val="20"/>
              </w:rPr>
              <w:t>3</w:t>
            </w:r>
          </w:p>
        </w:tc>
        <w:tc>
          <w:tcPr>
            <w:tcW w:w="1440" w:type="dxa"/>
            <w:shd w:val="clear" w:color="auto" w:fill="FFFFFF"/>
            <w:tcMar>
              <w:top w:w="0" w:type="dxa"/>
              <w:left w:w="0" w:type="dxa"/>
              <w:bottom w:w="0" w:type="dxa"/>
              <w:right w:w="0" w:type="dxa"/>
            </w:tcMar>
            <w:vAlign w:val="center"/>
          </w:tcPr>
          <w:p w14:paraId="300F6E65" w14:textId="77777777" w:rsidR="00FF3B6A" w:rsidRPr="00851D8A" w:rsidRDefault="00F651DB">
            <w:pPr>
              <w:spacing w:before="40" w:after="40"/>
              <w:ind w:left="100" w:right="100"/>
              <w:jc w:val="right"/>
            </w:pPr>
            <w:r w:rsidRPr="00851D8A">
              <w:rPr>
                <w:rFonts w:eastAsia="Segoe UI" w:cs="Segoe UI"/>
                <w:color w:val="111111"/>
                <w:sz w:val="20"/>
                <w:szCs w:val="20"/>
              </w:rPr>
              <w:t>3</w:t>
            </w:r>
          </w:p>
        </w:tc>
        <w:tc>
          <w:tcPr>
            <w:tcW w:w="1080" w:type="dxa"/>
            <w:tcBorders>
              <w:right w:val="single" w:sz="8" w:space="0" w:color="D9D9D9"/>
            </w:tcBorders>
            <w:shd w:val="clear" w:color="auto" w:fill="FFFFFF"/>
            <w:tcMar>
              <w:top w:w="0" w:type="dxa"/>
              <w:left w:w="0" w:type="dxa"/>
              <w:bottom w:w="0" w:type="dxa"/>
              <w:right w:w="0" w:type="dxa"/>
            </w:tcMar>
            <w:vAlign w:val="center"/>
          </w:tcPr>
          <w:p w14:paraId="5B0AEC50" w14:textId="77777777" w:rsidR="00FF3B6A" w:rsidRPr="00851D8A" w:rsidRDefault="00F651DB">
            <w:pPr>
              <w:spacing w:before="40" w:after="40"/>
              <w:ind w:left="100" w:right="100"/>
              <w:jc w:val="right"/>
            </w:pPr>
            <w:r w:rsidRPr="00851D8A">
              <w:rPr>
                <w:rFonts w:eastAsia="Segoe UI" w:cs="Segoe UI"/>
                <w:color w:val="111111"/>
                <w:sz w:val="20"/>
                <w:szCs w:val="20"/>
              </w:rPr>
              <w:t>0</w:t>
            </w:r>
          </w:p>
        </w:tc>
      </w:tr>
      <w:tr w:rsidR="00FF3B6A" w:rsidRPr="00851D8A" w14:paraId="40832722"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44918507" w14:textId="77777777" w:rsidR="00FF3B6A" w:rsidRPr="00851D8A" w:rsidRDefault="00F651DB">
            <w:pPr>
              <w:spacing w:before="40" w:after="40"/>
              <w:ind w:left="100" w:right="100"/>
            </w:pPr>
            <w:r w:rsidRPr="00851D8A">
              <w:rPr>
                <w:rFonts w:eastAsia="Segoe UI" w:cs="Segoe UI"/>
                <w:i/>
                <w:color w:val="111111"/>
                <w:sz w:val="20"/>
                <w:szCs w:val="20"/>
              </w:rPr>
              <w:t>Increase Staffing</w:t>
            </w:r>
          </w:p>
        </w:tc>
        <w:tc>
          <w:tcPr>
            <w:tcW w:w="1080" w:type="dxa"/>
            <w:shd w:val="clear" w:color="auto" w:fill="FFFFFF"/>
            <w:tcMar>
              <w:top w:w="0" w:type="dxa"/>
              <w:left w:w="0" w:type="dxa"/>
              <w:bottom w:w="0" w:type="dxa"/>
              <w:right w:w="0" w:type="dxa"/>
            </w:tcMar>
            <w:vAlign w:val="center"/>
          </w:tcPr>
          <w:p w14:paraId="1DA933DD" w14:textId="77777777" w:rsidR="00FF3B6A" w:rsidRPr="00851D8A" w:rsidRDefault="00F651DB">
            <w:pPr>
              <w:spacing w:before="40" w:after="40"/>
              <w:ind w:left="100" w:right="100"/>
              <w:jc w:val="right"/>
            </w:pPr>
            <w:r w:rsidRPr="00851D8A">
              <w:rPr>
                <w:rFonts w:eastAsia="Segoe UI" w:cs="Segoe UI"/>
                <w:color w:val="111111"/>
                <w:sz w:val="20"/>
                <w:szCs w:val="20"/>
              </w:rPr>
              <w:t>2</w:t>
            </w:r>
          </w:p>
        </w:tc>
        <w:tc>
          <w:tcPr>
            <w:tcW w:w="1440" w:type="dxa"/>
            <w:shd w:val="clear" w:color="auto" w:fill="FFFFFF"/>
            <w:tcMar>
              <w:top w:w="0" w:type="dxa"/>
              <w:left w:w="0" w:type="dxa"/>
              <w:bottom w:w="0" w:type="dxa"/>
              <w:right w:w="0" w:type="dxa"/>
            </w:tcMar>
            <w:vAlign w:val="center"/>
          </w:tcPr>
          <w:p w14:paraId="7F376259" w14:textId="77777777" w:rsidR="00FF3B6A" w:rsidRPr="00851D8A" w:rsidRDefault="00F651DB">
            <w:pPr>
              <w:spacing w:before="40" w:after="40"/>
              <w:ind w:left="100" w:right="100"/>
              <w:jc w:val="right"/>
            </w:pPr>
            <w:r w:rsidRPr="00851D8A">
              <w:rPr>
                <w:rFonts w:eastAsia="Segoe UI" w:cs="Segoe UI"/>
                <w:color w:val="111111"/>
                <w:sz w:val="20"/>
                <w:szCs w:val="20"/>
              </w:rPr>
              <w:t>4</w:t>
            </w:r>
          </w:p>
        </w:tc>
        <w:tc>
          <w:tcPr>
            <w:tcW w:w="1080" w:type="dxa"/>
            <w:tcBorders>
              <w:right w:val="single" w:sz="8" w:space="0" w:color="D9D9D9"/>
            </w:tcBorders>
            <w:shd w:val="clear" w:color="auto" w:fill="FFFFFF"/>
            <w:tcMar>
              <w:top w:w="0" w:type="dxa"/>
              <w:left w:w="0" w:type="dxa"/>
              <w:bottom w:w="0" w:type="dxa"/>
              <w:right w:w="0" w:type="dxa"/>
            </w:tcMar>
            <w:vAlign w:val="center"/>
          </w:tcPr>
          <w:p w14:paraId="0AC4F1F6" w14:textId="77777777" w:rsidR="00FF3B6A" w:rsidRPr="00851D8A" w:rsidRDefault="00F651DB">
            <w:pPr>
              <w:spacing w:before="40" w:after="40"/>
              <w:ind w:left="100" w:right="100"/>
              <w:jc w:val="right"/>
            </w:pPr>
            <w:r w:rsidRPr="00851D8A">
              <w:rPr>
                <w:rFonts w:eastAsia="Segoe UI" w:cs="Segoe UI"/>
                <w:color w:val="111111"/>
                <w:sz w:val="20"/>
                <w:szCs w:val="20"/>
              </w:rPr>
              <w:t>0</w:t>
            </w:r>
          </w:p>
        </w:tc>
      </w:tr>
      <w:tr w:rsidR="00FF3B6A" w:rsidRPr="00851D8A" w14:paraId="167416AC"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0281291C" w14:textId="77777777" w:rsidR="00FF3B6A" w:rsidRPr="00851D8A" w:rsidRDefault="00F651DB">
            <w:pPr>
              <w:spacing w:before="40" w:after="40"/>
              <w:ind w:left="100" w:right="100"/>
            </w:pPr>
            <w:r w:rsidRPr="00851D8A">
              <w:rPr>
                <w:rFonts w:eastAsia="Segoe UI" w:cs="Segoe UI"/>
                <w:i/>
                <w:color w:val="111111"/>
                <w:sz w:val="20"/>
                <w:szCs w:val="20"/>
              </w:rPr>
              <w:t>Support Plan Modification</w:t>
            </w:r>
          </w:p>
        </w:tc>
        <w:tc>
          <w:tcPr>
            <w:tcW w:w="1080" w:type="dxa"/>
            <w:shd w:val="clear" w:color="auto" w:fill="FFFFFF"/>
            <w:tcMar>
              <w:top w:w="0" w:type="dxa"/>
              <w:left w:w="0" w:type="dxa"/>
              <w:bottom w:w="0" w:type="dxa"/>
              <w:right w:w="0" w:type="dxa"/>
            </w:tcMar>
            <w:vAlign w:val="center"/>
          </w:tcPr>
          <w:p w14:paraId="3012BDE9" w14:textId="77777777" w:rsidR="00FF3B6A" w:rsidRPr="00851D8A" w:rsidRDefault="00F651DB">
            <w:pPr>
              <w:spacing w:before="40" w:after="40"/>
              <w:ind w:left="100" w:right="100"/>
              <w:jc w:val="right"/>
            </w:pPr>
            <w:r w:rsidRPr="00851D8A">
              <w:rPr>
                <w:rFonts w:eastAsia="Segoe UI" w:cs="Segoe UI"/>
                <w:color w:val="111111"/>
                <w:sz w:val="20"/>
                <w:szCs w:val="20"/>
              </w:rPr>
              <w:t>2</w:t>
            </w:r>
          </w:p>
        </w:tc>
        <w:tc>
          <w:tcPr>
            <w:tcW w:w="1440" w:type="dxa"/>
            <w:shd w:val="clear" w:color="auto" w:fill="FFFFFF"/>
            <w:tcMar>
              <w:top w:w="0" w:type="dxa"/>
              <w:left w:w="0" w:type="dxa"/>
              <w:bottom w:w="0" w:type="dxa"/>
              <w:right w:w="0" w:type="dxa"/>
            </w:tcMar>
            <w:vAlign w:val="center"/>
          </w:tcPr>
          <w:p w14:paraId="5A0C69F7" w14:textId="77777777" w:rsidR="00FF3B6A" w:rsidRPr="00851D8A" w:rsidRDefault="00F651DB">
            <w:pPr>
              <w:spacing w:before="40" w:after="40"/>
              <w:ind w:left="100" w:right="100"/>
              <w:jc w:val="right"/>
            </w:pPr>
            <w:r w:rsidRPr="00851D8A">
              <w:rPr>
                <w:rFonts w:eastAsia="Segoe UI" w:cs="Segoe UI"/>
                <w:color w:val="111111"/>
                <w:sz w:val="20"/>
                <w:szCs w:val="20"/>
              </w:rPr>
              <w:t>5</w:t>
            </w:r>
          </w:p>
        </w:tc>
        <w:tc>
          <w:tcPr>
            <w:tcW w:w="1080" w:type="dxa"/>
            <w:tcBorders>
              <w:right w:val="single" w:sz="8" w:space="0" w:color="D9D9D9"/>
            </w:tcBorders>
            <w:shd w:val="clear" w:color="auto" w:fill="FFFFFF"/>
            <w:tcMar>
              <w:top w:w="0" w:type="dxa"/>
              <w:left w:w="0" w:type="dxa"/>
              <w:bottom w:w="0" w:type="dxa"/>
              <w:right w:w="0" w:type="dxa"/>
            </w:tcMar>
            <w:vAlign w:val="center"/>
          </w:tcPr>
          <w:p w14:paraId="2949FCCD" w14:textId="77777777" w:rsidR="00FF3B6A" w:rsidRPr="00851D8A" w:rsidRDefault="00F651DB">
            <w:pPr>
              <w:spacing w:before="40" w:after="40"/>
              <w:ind w:left="100" w:right="100"/>
              <w:jc w:val="right"/>
            </w:pPr>
            <w:r w:rsidRPr="00851D8A">
              <w:rPr>
                <w:rFonts w:eastAsia="Segoe UI" w:cs="Segoe UI"/>
                <w:color w:val="111111"/>
                <w:sz w:val="20"/>
                <w:szCs w:val="20"/>
              </w:rPr>
              <w:t>0</w:t>
            </w:r>
          </w:p>
        </w:tc>
      </w:tr>
      <w:tr w:rsidR="00FF3B6A" w:rsidRPr="00851D8A" w14:paraId="6D09665E"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7E9681EC" w14:textId="77777777" w:rsidR="00FF3B6A" w:rsidRPr="00851D8A" w:rsidRDefault="00F651DB">
            <w:pPr>
              <w:spacing w:before="40" w:after="40"/>
              <w:ind w:left="100" w:right="100"/>
            </w:pPr>
            <w:r w:rsidRPr="00851D8A">
              <w:rPr>
                <w:rFonts w:eastAsia="Segoe UI" w:cs="Segoe UI"/>
                <w:i/>
                <w:color w:val="111111"/>
                <w:sz w:val="20"/>
                <w:szCs w:val="20"/>
              </w:rPr>
              <w:t>Improve QA</w:t>
            </w:r>
          </w:p>
        </w:tc>
        <w:tc>
          <w:tcPr>
            <w:tcW w:w="1080" w:type="dxa"/>
            <w:shd w:val="clear" w:color="auto" w:fill="FFFFFF"/>
            <w:tcMar>
              <w:top w:w="0" w:type="dxa"/>
              <w:left w:w="0" w:type="dxa"/>
              <w:bottom w:w="0" w:type="dxa"/>
              <w:right w:w="0" w:type="dxa"/>
            </w:tcMar>
            <w:vAlign w:val="center"/>
          </w:tcPr>
          <w:p w14:paraId="6F0338D6" w14:textId="77777777" w:rsidR="00FF3B6A" w:rsidRPr="00851D8A" w:rsidRDefault="00F651DB">
            <w:pPr>
              <w:spacing w:before="40" w:after="40"/>
              <w:ind w:left="100" w:right="100"/>
              <w:jc w:val="right"/>
            </w:pPr>
            <w:r w:rsidRPr="00851D8A">
              <w:rPr>
                <w:rFonts w:eastAsia="Segoe UI" w:cs="Segoe UI"/>
                <w:color w:val="111111"/>
                <w:sz w:val="20"/>
                <w:szCs w:val="20"/>
              </w:rPr>
              <w:t>1</w:t>
            </w:r>
          </w:p>
        </w:tc>
        <w:tc>
          <w:tcPr>
            <w:tcW w:w="1440" w:type="dxa"/>
            <w:shd w:val="clear" w:color="auto" w:fill="FFFFFF"/>
            <w:tcMar>
              <w:top w:w="0" w:type="dxa"/>
              <w:left w:w="0" w:type="dxa"/>
              <w:bottom w:w="0" w:type="dxa"/>
              <w:right w:w="0" w:type="dxa"/>
            </w:tcMar>
            <w:vAlign w:val="center"/>
          </w:tcPr>
          <w:p w14:paraId="69A85E8E" w14:textId="77777777" w:rsidR="00FF3B6A" w:rsidRPr="00851D8A" w:rsidRDefault="00F651DB">
            <w:pPr>
              <w:spacing w:before="40" w:after="40"/>
              <w:ind w:left="100" w:right="100"/>
              <w:jc w:val="right"/>
            </w:pPr>
            <w:r w:rsidRPr="00851D8A">
              <w:rPr>
                <w:rFonts w:eastAsia="Segoe UI" w:cs="Segoe UI"/>
                <w:color w:val="111111"/>
                <w:sz w:val="20"/>
                <w:szCs w:val="20"/>
              </w:rPr>
              <w:t>6</w:t>
            </w:r>
          </w:p>
        </w:tc>
        <w:tc>
          <w:tcPr>
            <w:tcW w:w="1080" w:type="dxa"/>
            <w:tcBorders>
              <w:right w:val="single" w:sz="8" w:space="0" w:color="D9D9D9"/>
            </w:tcBorders>
            <w:shd w:val="clear" w:color="auto" w:fill="FFFFFF"/>
            <w:tcMar>
              <w:top w:w="0" w:type="dxa"/>
              <w:left w:w="0" w:type="dxa"/>
              <w:bottom w:w="0" w:type="dxa"/>
              <w:right w:w="0" w:type="dxa"/>
            </w:tcMar>
            <w:vAlign w:val="center"/>
          </w:tcPr>
          <w:p w14:paraId="7B404E51" w14:textId="77777777" w:rsidR="00FF3B6A" w:rsidRPr="00851D8A" w:rsidRDefault="00F651DB">
            <w:pPr>
              <w:spacing w:before="40" w:after="40"/>
              <w:ind w:left="100" w:right="100"/>
              <w:jc w:val="right"/>
            </w:pPr>
            <w:r w:rsidRPr="00851D8A">
              <w:rPr>
                <w:rFonts w:eastAsia="Segoe UI" w:cs="Segoe UI"/>
                <w:color w:val="111111"/>
                <w:sz w:val="20"/>
                <w:szCs w:val="20"/>
              </w:rPr>
              <w:t>0</w:t>
            </w:r>
          </w:p>
        </w:tc>
      </w:tr>
      <w:tr w:rsidR="00FF3B6A" w:rsidRPr="00851D8A" w14:paraId="32C69F0B" w14:textId="77777777">
        <w:trPr>
          <w:cantSplit/>
          <w:trHeight w:hRule="exact" w:val="360"/>
          <w:jc w:val="center"/>
        </w:trPr>
        <w:tc>
          <w:tcPr>
            <w:tcW w:w="4896" w:type="dxa"/>
            <w:tcBorders>
              <w:left w:val="single" w:sz="8" w:space="0" w:color="D9D9D9"/>
              <w:bottom w:val="single" w:sz="8" w:space="0" w:color="D9D9D9"/>
            </w:tcBorders>
            <w:shd w:val="clear" w:color="auto" w:fill="FFFFFF"/>
            <w:tcMar>
              <w:top w:w="0" w:type="dxa"/>
              <w:left w:w="0" w:type="dxa"/>
              <w:bottom w:w="0" w:type="dxa"/>
              <w:right w:w="0" w:type="dxa"/>
            </w:tcMar>
            <w:vAlign w:val="center"/>
          </w:tcPr>
          <w:p w14:paraId="1CA9288D" w14:textId="77777777" w:rsidR="00FF3B6A" w:rsidRPr="00851D8A" w:rsidRDefault="00F651DB">
            <w:pPr>
              <w:spacing w:before="40" w:after="40"/>
              <w:ind w:left="100" w:right="100"/>
            </w:pPr>
            <w:r w:rsidRPr="00851D8A">
              <w:rPr>
                <w:rFonts w:eastAsia="Segoe UI" w:cs="Segoe UI"/>
                <w:i/>
                <w:color w:val="111111"/>
                <w:sz w:val="20"/>
                <w:szCs w:val="20"/>
              </w:rPr>
              <w:t>Other corrective action(s) taken by provider</w:t>
            </w:r>
          </w:p>
        </w:tc>
        <w:tc>
          <w:tcPr>
            <w:tcW w:w="1080" w:type="dxa"/>
            <w:tcBorders>
              <w:bottom w:val="single" w:sz="8" w:space="0" w:color="D9D9D9"/>
            </w:tcBorders>
            <w:shd w:val="clear" w:color="auto" w:fill="FFFFFF"/>
            <w:tcMar>
              <w:top w:w="0" w:type="dxa"/>
              <w:left w:w="0" w:type="dxa"/>
              <w:bottom w:w="0" w:type="dxa"/>
              <w:right w:w="0" w:type="dxa"/>
            </w:tcMar>
            <w:vAlign w:val="center"/>
          </w:tcPr>
          <w:p w14:paraId="20855B34" w14:textId="77777777" w:rsidR="00FF3B6A" w:rsidRPr="00851D8A" w:rsidRDefault="00F651DB">
            <w:pPr>
              <w:spacing w:before="40" w:after="40"/>
              <w:ind w:left="100" w:right="100"/>
              <w:jc w:val="right"/>
            </w:pPr>
            <w:r w:rsidRPr="00851D8A">
              <w:rPr>
                <w:rFonts w:eastAsia="Segoe UI" w:cs="Segoe UI"/>
                <w:color w:val="111111"/>
                <w:sz w:val="20"/>
                <w:szCs w:val="20"/>
              </w:rPr>
              <w:t>0</w:t>
            </w:r>
          </w:p>
        </w:tc>
        <w:tc>
          <w:tcPr>
            <w:tcW w:w="1440" w:type="dxa"/>
            <w:tcBorders>
              <w:bottom w:val="single" w:sz="8" w:space="0" w:color="D9D9D9"/>
            </w:tcBorders>
            <w:shd w:val="clear" w:color="auto" w:fill="FFFFFF"/>
            <w:tcMar>
              <w:top w:w="0" w:type="dxa"/>
              <w:left w:w="0" w:type="dxa"/>
              <w:bottom w:w="0" w:type="dxa"/>
              <w:right w:w="0" w:type="dxa"/>
            </w:tcMar>
            <w:vAlign w:val="center"/>
          </w:tcPr>
          <w:p w14:paraId="37089349" w14:textId="77777777" w:rsidR="00FF3B6A" w:rsidRPr="00851D8A" w:rsidRDefault="00F651DB">
            <w:pPr>
              <w:spacing w:before="40" w:after="40"/>
              <w:ind w:left="100" w:right="100"/>
              <w:jc w:val="right"/>
            </w:pPr>
            <w:r w:rsidRPr="00851D8A">
              <w:rPr>
                <w:rFonts w:eastAsia="Segoe UI" w:cs="Segoe UI"/>
                <w:color w:val="111111"/>
                <w:sz w:val="20"/>
                <w:szCs w:val="20"/>
              </w:rPr>
              <w:t>0</w:t>
            </w:r>
          </w:p>
        </w:tc>
        <w:tc>
          <w:tcPr>
            <w:tcW w:w="1080" w:type="dxa"/>
            <w:tcBorders>
              <w:bottom w:val="single" w:sz="8" w:space="0" w:color="D9D9D9"/>
              <w:right w:val="single" w:sz="8" w:space="0" w:color="D9D9D9"/>
            </w:tcBorders>
            <w:shd w:val="clear" w:color="auto" w:fill="FFFFFF"/>
            <w:tcMar>
              <w:top w:w="0" w:type="dxa"/>
              <w:left w:w="0" w:type="dxa"/>
              <w:bottom w:w="0" w:type="dxa"/>
              <w:right w:w="0" w:type="dxa"/>
            </w:tcMar>
            <w:vAlign w:val="center"/>
          </w:tcPr>
          <w:p w14:paraId="5F07369A" w14:textId="77777777" w:rsidR="00FF3B6A" w:rsidRPr="00851D8A" w:rsidRDefault="00F651DB">
            <w:pPr>
              <w:spacing w:before="40" w:after="40"/>
              <w:ind w:left="100" w:right="100"/>
              <w:jc w:val="right"/>
            </w:pPr>
            <w:r w:rsidRPr="00851D8A">
              <w:rPr>
                <w:rFonts w:eastAsia="Segoe UI" w:cs="Segoe UI"/>
                <w:color w:val="111111"/>
                <w:sz w:val="20"/>
                <w:szCs w:val="20"/>
              </w:rPr>
              <w:t>6</w:t>
            </w:r>
          </w:p>
        </w:tc>
      </w:tr>
    </w:tbl>
    <w:p w14:paraId="725C82C0" w14:textId="7D752EEC" w:rsidR="00F8501F" w:rsidRPr="00A1360F" w:rsidRDefault="00CE2DE6" w:rsidP="00A1360F">
      <w:pPr>
        <w:pStyle w:val="paragraph"/>
        <w:spacing w:before="0" w:beforeAutospacing="0" w:after="0" w:afterAutospacing="0"/>
        <w:textAlignment w:val="baseline"/>
        <w:rPr>
          <w:rFonts w:ascii="Segoe UI" w:hAnsi="Segoe UI" w:cs="Segoe UI"/>
          <w:sz w:val="18"/>
          <w:szCs w:val="18"/>
        </w:rPr>
      </w:pPr>
      <w:bookmarkStart w:id="5" w:name="notifications"/>
      <w:r w:rsidRPr="00A1360F">
        <w:rPr>
          <w:rStyle w:val="normaltextrun"/>
          <w:rFonts w:ascii="Segoe UI" w:hAnsi="Segoe UI" w:cs="Segoe UI"/>
          <w:sz w:val="22"/>
          <w:szCs w:val="22"/>
        </w:rPr>
        <w:t xml:space="preserve">Although </w:t>
      </w:r>
      <w:r w:rsidR="00F8501F" w:rsidRPr="00A1360F">
        <w:rPr>
          <w:rStyle w:val="normaltextrun"/>
          <w:rFonts w:ascii="Segoe UI" w:hAnsi="Segoe UI" w:cs="Segoe UI"/>
          <w:sz w:val="22"/>
          <w:szCs w:val="22"/>
        </w:rPr>
        <w:t xml:space="preserve">“Appropriate Staff Action Taken” </w:t>
      </w:r>
      <w:r w:rsidRPr="00A1360F">
        <w:rPr>
          <w:rStyle w:val="normaltextrun"/>
          <w:rFonts w:ascii="Segoe UI" w:hAnsi="Segoe UI" w:cs="Segoe UI"/>
          <w:sz w:val="22"/>
          <w:szCs w:val="22"/>
        </w:rPr>
        <w:t xml:space="preserve">continues </w:t>
      </w:r>
      <w:r w:rsidR="00F8501F" w:rsidRPr="00A1360F">
        <w:rPr>
          <w:rStyle w:val="normaltextrun"/>
          <w:rFonts w:ascii="Segoe UI" w:hAnsi="Segoe UI" w:cs="Segoe UI"/>
          <w:sz w:val="22"/>
          <w:szCs w:val="22"/>
        </w:rPr>
        <w:t>to present with the most ambiguity</w:t>
      </w:r>
      <w:r w:rsidRPr="00A1360F">
        <w:rPr>
          <w:rStyle w:val="normaltextrun"/>
          <w:rFonts w:ascii="Segoe UI" w:hAnsi="Segoe UI" w:cs="Segoe UI"/>
          <w:sz w:val="22"/>
          <w:szCs w:val="22"/>
        </w:rPr>
        <w:t>, there has been improvement</w:t>
      </w:r>
      <w:r w:rsidR="00F8501F" w:rsidRPr="00A1360F">
        <w:rPr>
          <w:rStyle w:val="normaltextrun"/>
          <w:rFonts w:ascii="Segoe UI" w:hAnsi="Segoe UI" w:cs="Segoe UI"/>
          <w:sz w:val="22"/>
          <w:szCs w:val="22"/>
        </w:rPr>
        <w:t xml:space="preserve">. </w:t>
      </w:r>
      <w:r w:rsidRPr="00A1360F">
        <w:rPr>
          <w:rStyle w:val="normaltextrun"/>
          <w:rFonts w:ascii="Segoe UI" w:hAnsi="Segoe UI" w:cs="Segoe UI"/>
          <w:sz w:val="22"/>
          <w:szCs w:val="22"/>
        </w:rPr>
        <w:t>In CY</w:t>
      </w:r>
      <w:r w:rsidR="0021579E" w:rsidRPr="00A1360F">
        <w:rPr>
          <w:rStyle w:val="normaltextrun"/>
          <w:rFonts w:ascii="Segoe UI" w:hAnsi="Segoe UI" w:cs="Segoe UI"/>
          <w:sz w:val="22"/>
          <w:szCs w:val="22"/>
        </w:rPr>
        <w:t>2019</w:t>
      </w:r>
      <w:r w:rsidRPr="00A1360F">
        <w:rPr>
          <w:rStyle w:val="normaltextrun"/>
          <w:rFonts w:ascii="Segoe UI" w:hAnsi="Segoe UI" w:cs="Segoe UI"/>
          <w:sz w:val="22"/>
          <w:szCs w:val="22"/>
        </w:rPr>
        <w:t xml:space="preserve"> there wa</w:t>
      </w:r>
      <w:r w:rsidR="00F8501F" w:rsidRPr="00A1360F">
        <w:rPr>
          <w:rStyle w:val="normaltextrun"/>
          <w:rFonts w:ascii="Segoe UI" w:hAnsi="Segoe UI" w:cs="Segoe UI"/>
          <w:sz w:val="22"/>
          <w:szCs w:val="22"/>
        </w:rPr>
        <w:t>s evidence that </w:t>
      </w:r>
      <w:r w:rsidRPr="00A1360F">
        <w:rPr>
          <w:rStyle w:val="normaltextrun"/>
          <w:rFonts w:ascii="Segoe UI" w:hAnsi="Segoe UI" w:cs="Segoe UI"/>
          <w:sz w:val="22"/>
          <w:szCs w:val="22"/>
        </w:rPr>
        <w:t>appropriate action wa</w:t>
      </w:r>
      <w:r w:rsidR="00F8501F" w:rsidRPr="00A1360F">
        <w:rPr>
          <w:rStyle w:val="normaltextrun"/>
          <w:rFonts w:ascii="Segoe UI" w:hAnsi="Segoe UI" w:cs="Segoe UI"/>
          <w:sz w:val="22"/>
          <w:szCs w:val="22"/>
        </w:rPr>
        <w:t>s taken by the provider in 50 of the cases</w:t>
      </w:r>
      <w:r w:rsidRPr="00A1360F">
        <w:rPr>
          <w:rStyle w:val="normaltextrun"/>
          <w:rFonts w:ascii="Segoe UI" w:hAnsi="Segoe UI" w:cs="Segoe UI"/>
          <w:sz w:val="22"/>
          <w:szCs w:val="22"/>
        </w:rPr>
        <w:t> where this action was</w:t>
      </w:r>
      <w:r w:rsidR="00F8501F" w:rsidRPr="00A1360F">
        <w:rPr>
          <w:rStyle w:val="normaltextrun"/>
          <w:rFonts w:ascii="Segoe UI" w:hAnsi="Segoe UI" w:cs="Segoe UI"/>
          <w:sz w:val="22"/>
          <w:szCs w:val="22"/>
        </w:rPr>
        <w:t xml:space="preserve"> selected, </w:t>
      </w:r>
      <w:r w:rsidR="0021579E" w:rsidRPr="00A1360F">
        <w:rPr>
          <w:rStyle w:val="normaltextrun"/>
          <w:rFonts w:ascii="Segoe UI" w:hAnsi="Segoe UI" w:cs="Segoe UI"/>
          <w:sz w:val="22"/>
          <w:szCs w:val="22"/>
        </w:rPr>
        <w:t>and the same</w:t>
      </w:r>
      <w:r w:rsidR="00F8501F" w:rsidRPr="00A1360F">
        <w:rPr>
          <w:rStyle w:val="normaltextrun"/>
          <w:rFonts w:ascii="Segoe UI" w:hAnsi="Segoe UI" w:cs="Segoe UI"/>
          <w:sz w:val="22"/>
          <w:szCs w:val="22"/>
        </w:rPr>
        <w:t> action </w:t>
      </w:r>
      <w:r w:rsidR="0021579E" w:rsidRPr="00A1360F">
        <w:rPr>
          <w:rStyle w:val="normaltextrun"/>
          <w:rFonts w:ascii="Segoe UI" w:hAnsi="Segoe UI" w:cs="Segoe UI"/>
          <w:sz w:val="22"/>
          <w:szCs w:val="22"/>
        </w:rPr>
        <w:t xml:space="preserve">was </w:t>
      </w:r>
      <w:r w:rsidR="00F8501F" w:rsidRPr="00A1360F">
        <w:rPr>
          <w:rStyle w:val="normaltextrun"/>
          <w:rFonts w:ascii="Segoe UI" w:hAnsi="Segoe UI" w:cs="Segoe UI"/>
          <w:sz w:val="22"/>
          <w:szCs w:val="22"/>
        </w:rPr>
        <w:t>observed to have been selected most often</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 for which </w:t>
      </w:r>
      <w:r w:rsidR="0021579E" w:rsidRPr="00A1360F">
        <w:rPr>
          <w:rStyle w:val="normaltextrun"/>
          <w:rFonts w:ascii="Segoe UI" w:hAnsi="Segoe UI" w:cs="Segoe UI"/>
          <w:sz w:val="22"/>
          <w:szCs w:val="22"/>
        </w:rPr>
        <w:t>there was</w:t>
      </w:r>
      <w:r w:rsidR="00F8501F" w:rsidRPr="00A1360F">
        <w:rPr>
          <w:rStyle w:val="normaltextrun"/>
          <w:rFonts w:ascii="Segoe UI" w:hAnsi="Segoe UI" w:cs="Segoe UI"/>
          <w:sz w:val="22"/>
          <w:szCs w:val="22"/>
        </w:rPr>
        <w:t xml:space="preserve"> no evidence to support it. </w:t>
      </w:r>
      <w:r w:rsidR="0021579E" w:rsidRPr="00A1360F">
        <w:rPr>
          <w:rStyle w:val="normaltextrun"/>
          <w:rFonts w:ascii="Segoe UI" w:hAnsi="Segoe UI" w:cs="Segoe UI"/>
          <w:sz w:val="22"/>
          <w:szCs w:val="22"/>
        </w:rPr>
        <w:t xml:space="preserve"> In CY</w:t>
      </w:r>
      <w:r w:rsidR="00A1360F" w:rsidRPr="00A1360F">
        <w:rPr>
          <w:rStyle w:val="normaltextrun"/>
          <w:rFonts w:ascii="Segoe UI" w:hAnsi="Segoe UI" w:cs="Segoe UI"/>
          <w:sz w:val="22"/>
          <w:szCs w:val="22"/>
        </w:rPr>
        <w:t xml:space="preserve">2020; however, </w:t>
      </w:r>
      <w:r w:rsidR="00A1360F" w:rsidRPr="00A1360F">
        <w:rPr>
          <w:rStyle w:val="normaltextrun"/>
          <w:rFonts w:ascii="Segoe UI" w:hAnsi="Segoe UI" w:cs="Segoe UI"/>
          <w:sz w:val="22"/>
          <w:szCs w:val="22"/>
        </w:rPr>
        <w:t>there was evidence that appropriate action was taken by the provider in </w:t>
      </w:r>
      <w:r w:rsidR="0021579E" w:rsidRPr="00A1360F">
        <w:rPr>
          <w:rStyle w:val="normaltextrun"/>
          <w:rFonts w:ascii="Segoe UI" w:hAnsi="Segoe UI" w:cs="Segoe UI"/>
          <w:sz w:val="22"/>
          <w:szCs w:val="22"/>
        </w:rPr>
        <w:t>30</w:t>
      </w:r>
      <w:r w:rsidR="0021579E" w:rsidRPr="00A1360F">
        <w:rPr>
          <w:rStyle w:val="normaltextrun"/>
          <w:rFonts w:ascii="Segoe UI" w:hAnsi="Segoe UI" w:cs="Segoe UI"/>
          <w:sz w:val="22"/>
          <w:szCs w:val="22"/>
        </w:rPr>
        <w:t xml:space="preserve"> of the cases where this action was selected.  </w:t>
      </w:r>
      <w:r w:rsidR="00F8501F" w:rsidRPr="00A1360F">
        <w:rPr>
          <w:rStyle w:val="normaltextrun"/>
          <w:rFonts w:ascii="Segoe UI" w:hAnsi="Segoe UI" w:cs="Segoe UI"/>
          <w:sz w:val="22"/>
          <w:szCs w:val="22"/>
        </w:rPr>
        <w:t>OHR believes that this </w:t>
      </w:r>
      <w:r w:rsidR="00A1360F" w:rsidRPr="00A1360F">
        <w:rPr>
          <w:rStyle w:val="normaltextrun"/>
          <w:rFonts w:ascii="Segoe UI" w:hAnsi="Segoe UI" w:cs="Segoe UI"/>
          <w:sz w:val="22"/>
          <w:szCs w:val="22"/>
        </w:rPr>
        <w:t>decrease in number</w:t>
      </w:r>
      <w:r w:rsidR="0021579E" w:rsidRPr="00A1360F">
        <w:rPr>
          <w:rStyle w:val="normaltextrun"/>
          <w:rFonts w:ascii="Segoe UI" w:hAnsi="Segoe UI" w:cs="Segoe UI"/>
          <w:sz w:val="22"/>
          <w:szCs w:val="22"/>
        </w:rPr>
        <w:t xml:space="preserve"> from </w:t>
      </w:r>
      <w:r w:rsidR="00F8501F" w:rsidRPr="00A1360F">
        <w:rPr>
          <w:rStyle w:val="normaltextrun"/>
          <w:rFonts w:ascii="Segoe UI" w:hAnsi="Segoe UI" w:cs="Segoe UI"/>
          <w:sz w:val="22"/>
          <w:szCs w:val="22"/>
        </w:rPr>
        <w:t xml:space="preserve">providers misidentifying the action as a justification for not determining a violation </w:t>
      </w:r>
      <w:r w:rsidR="0021579E" w:rsidRPr="00A1360F">
        <w:rPr>
          <w:rStyle w:val="normaltextrun"/>
          <w:rFonts w:ascii="Segoe UI" w:hAnsi="Segoe UI" w:cs="Segoe UI"/>
          <w:sz w:val="22"/>
          <w:szCs w:val="22"/>
        </w:rPr>
        <w:t xml:space="preserve">is a result of </w:t>
      </w:r>
      <w:r w:rsidR="00F8501F" w:rsidRPr="00A1360F">
        <w:rPr>
          <w:rStyle w:val="normaltextrun"/>
          <w:rFonts w:ascii="Segoe UI" w:hAnsi="Segoe UI" w:cs="Segoe UI"/>
          <w:sz w:val="22"/>
          <w:szCs w:val="22"/>
        </w:rPr>
        <w:t>OHR utilizing its e</w:t>
      </w:r>
      <w:r w:rsidR="00A1360F" w:rsidRPr="00A1360F">
        <w:rPr>
          <w:rStyle w:val="normaltextrun"/>
          <w:rFonts w:ascii="Segoe UI" w:hAnsi="Segoe UI" w:cs="Segoe UI"/>
          <w:sz w:val="22"/>
          <w:szCs w:val="22"/>
        </w:rPr>
        <w:t xml:space="preserve">xisting training infrastructure and </w:t>
      </w:r>
      <w:r w:rsidR="00F8501F" w:rsidRPr="00A1360F">
        <w:rPr>
          <w:rStyle w:val="normaltextrun"/>
          <w:rFonts w:ascii="Segoe UI" w:hAnsi="Segoe UI" w:cs="Segoe UI"/>
          <w:sz w:val="22"/>
          <w:szCs w:val="22"/>
        </w:rPr>
        <w:t>presentations (</w:t>
      </w:r>
      <w:r w:rsidR="00F8501F" w:rsidRPr="00A1360F">
        <w:rPr>
          <w:rStyle w:val="contextualspellingandgrammarerror"/>
          <w:rFonts w:ascii="Segoe UI" w:hAnsi="Segoe UI" w:cs="Segoe UI"/>
          <w:sz w:val="22"/>
          <w:szCs w:val="22"/>
        </w:rPr>
        <w:t>i.e.</w:t>
      </w:r>
      <w:r w:rsidR="00F8501F" w:rsidRPr="00A1360F">
        <w:rPr>
          <w:rStyle w:val="normaltextrun"/>
          <w:rFonts w:ascii="Segoe UI" w:hAnsi="Segoe UI" w:cs="Segoe UI"/>
          <w:sz w:val="22"/>
          <w:szCs w:val="22"/>
        </w:rPr>
        <w:t> </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CHRIS</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 xml:space="preserve">; </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Overview of Human Rights</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 xml:space="preserve">; and </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Community Provider Investigation</w:t>
      </w:r>
      <w:r w:rsidR="00A1360F" w:rsidRPr="00A1360F">
        <w:rPr>
          <w:rStyle w:val="normaltextrun"/>
          <w:rFonts w:ascii="Segoe UI" w:hAnsi="Segoe UI" w:cs="Segoe UI"/>
          <w:sz w:val="22"/>
          <w:szCs w:val="22"/>
        </w:rPr>
        <w:t>”</w:t>
      </w:r>
      <w:r w:rsidR="00F8501F" w:rsidRPr="00A1360F">
        <w:rPr>
          <w:rStyle w:val="normaltextrun"/>
          <w:rFonts w:ascii="Segoe UI" w:hAnsi="Segoe UI" w:cs="Segoe UI"/>
          <w:sz w:val="22"/>
          <w:szCs w:val="22"/>
        </w:rPr>
        <w:t>) to educate about the accurate use of “Appropriate Staff Action Taken” as a corrective action after th</w:t>
      </w:r>
      <w:r w:rsidR="00A1360F" w:rsidRPr="00A1360F">
        <w:rPr>
          <w:rStyle w:val="normaltextrun"/>
          <w:rFonts w:ascii="Segoe UI" w:hAnsi="Segoe UI" w:cs="Segoe UI"/>
          <w:sz w:val="22"/>
          <w:szCs w:val="22"/>
        </w:rPr>
        <w:t>e identification of a violation.</w:t>
      </w:r>
      <w:bookmarkStart w:id="6" w:name="_GoBack"/>
      <w:bookmarkEnd w:id="6"/>
    </w:p>
    <w:p w14:paraId="08D02E75" w14:textId="782D066D" w:rsidR="00FF3B6A" w:rsidRPr="00851D8A" w:rsidRDefault="00F651DB">
      <w:pPr>
        <w:pStyle w:val="Heading2"/>
      </w:pPr>
      <w:r w:rsidRPr="00851D8A">
        <w:t>Notifications</w:t>
      </w:r>
      <w:bookmarkEnd w:id="5"/>
    </w:p>
    <w:p w14:paraId="35930097" w14:textId="77777777" w:rsidR="00FF3B6A" w:rsidRPr="00851D8A" w:rsidRDefault="00F651DB">
      <w:pPr>
        <w:pStyle w:val="FirstParagraph"/>
      </w:pPr>
      <w:r w:rsidRPr="00851D8A">
        <w:t>Another data quality comparison was made regarding the initial notification of a pending allegation made to the individuals’ authorized representative (AR) or legal guardian. Reviewers indicated in 64 cases, the individual is their own decision maker and does not have an AR or guardian. This reduces the number of eligible cases in the following comparison to 236.</w:t>
      </w:r>
    </w:p>
    <w:p w14:paraId="638A82A3" w14:textId="4DBA088C" w:rsidR="00FF3B6A" w:rsidRPr="00851D8A" w:rsidRDefault="00F651DB">
      <w:pPr>
        <w:numPr>
          <w:ilvl w:val="0"/>
          <w:numId w:val="17"/>
        </w:numPr>
      </w:pPr>
      <w:r w:rsidRPr="00851D8A">
        <w:t>In 136 cases (58%), reviewers found on-site evidence to support the CHRIS data notification to AR/Guardian. Evidence could be documentation o</w:t>
      </w:r>
      <w:r w:rsidR="003A7885">
        <w:t xml:space="preserve">f a phone call or a copy of a </w:t>
      </w:r>
      <w:r w:rsidRPr="00851D8A">
        <w:t>letter.</w:t>
      </w:r>
    </w:p>
    <w:p w14:paraId="53C282A0" w14:textId="77777777" w:rsidR="00FF3B6A" w:rsidRPr="00851D8A" w:rsidRDefault="00F651DB">
      <w:pPr>
        <w:numPr>
          <w:ilvl w:val="0"/>
          <w:numId w:val="17"/>
        </w:numPr>
      </w:pPr>
      <w:r w:rsidRPr="00851D8A">
        <w:t>In another 78 cases (33%), reviewers could not find evidence of notification.</w:t>
      </w:r>
    </w:p>
    <w:p w14:paraId="681A250A" w14:textId="77777777" w:rsidR="00FF3B6A" w:rsidRPr="00851D8A" w:rsidRDefault="00F651DB">
      <w:pPr>
        <w:numPr>
          <w:ilvl w:val="0"/>
          <w:numId w:val="17"/>
        </w:numPr>
      </w:pPr>
      <w:r w:rsidRPr="00851D8A">
        <w:t>In 22 cases (9%), there was on-site evidence, but the provider did not enter the notification data into CHRIS.</w:t>
      </w:r>
    </w:p>
    <w:p w14:paraId="47FDF7E0" w14:textId="5A3AD315" w:rsidR="00FF3B6A" w:rsidRPr="00851D8A" w:rsidRDefault="00F651DB" w:rsidP="00D77012">
      <w:pPr>
        <w:pStyle w:val="FirstParagraph"/>
      </w:pPr>
      <w:r w:rsidRPr="00851D8A">
        <w:t xml:space="preserve">Once an investigation is complete, a provider must send a final written notice of the findings to </w:t>
      </w:r>
      <w:r w:rsidR="00D77012">
        <w:t>the individual and/or their AR/g</w:t>
      </w:r>
      <w:r w:rsidRPr="00851D8A">
        <w:t xml:space="preserve">uardian, regardless of whether or not the case was substantiated for abuse. Providers indicated in CHRIS that they sent this notice in 289 cases and failed to send it </w:t>
      </w:r>
      <w:r w:rsidRPr="00851D8A">
        <w:rPr>
          <w:color w:val="auto"/>
        </w:rPr>
        <w:t xml:space="preserve">in </w:t>
      </w:r>
      <w:r w:rsidR="00866667" w:rsidRPr="00851D8A">
        <w:rPr>
          <w:color w:val="auto"/>
        </w:rPr>
        <w:t>11</w:t>
      </w:r>
      <w:r w:rsidRPr="00851D8A">
        <w:rPr>
          <w:color w:val="auto"/>
        </w:rPr>
        <w:t>.</w:t>
      </w:r>
      <w:r w:rsidRPr="00851D8A">
        <w:t xml:space="preserve"> Of the 289 written notices that were sent, reviewers found supporting on-site evidence in 224 cases but did not find evidence in 65.</w:t>
      </w:r>
      <w:r w:rsidR="00D77012">
        <w:t xml:space="preserve"> </w:t>
      </w:r>
      <w:r w:rsidRPr="00851D8A">
        <w:t>Conversely, reviewers found on-site evidence in 3 cases but the provider never entered this data into CHRIS.</w:t>
      </w:r>
    </w:p>
    <w:p w14:paraId="52664247" w14:textId="77777777" w:rsidR="00FF3B6A" w:rsidRPr="00851D8A" w:rsidRDefault="00F651DB">
      <w:pPr>
        <w:pStyle w:val="Heading1"/>
      </w:pPr>
      <w:bookmarkStart w:id="7" w:name="validity-of-investigation-outcomes"/>
      <w:r w:rsidRPr="00851D8A">
        <w:t>Validity of Investigation Outcomes</w:t>
      </w:r>
      <w:bookmarkEnd w:id="7"/>
    </w:p>
    <w:p w14:paraId="3809711D" w14:textId="77777777" w:rsidR="00FF3B6A" w:rsidRPr="00851D8A" w:rsidRDefault="00F651DB">
      <w:pPr>
        <w:pStyle w:val="FirstParagraph"/>
      </w:pPr>
      <w:r w:rsidRPr="00851D8A">
        <w:t>The final goal of the CLB is to assess the validity of the providers’ investigation and outcomes.</w:t>
      </w:r>
    </w:p>
    <w:p w14:paraId="5D453EC6" w14:textId="77777777" w:rsidR="00FF3B6A" w:rsidRPr="00851D8A" w:rsidRDefault="00F651DB">
      <w:pPr>
        <w:pStyle w:val="Heading2"/>
      </w:pPr>
      <w:bookmarkStart w:id="8" w:name="facts-support-the-findings"/>
      <w:r w:rsidRPr="00851D8A">
        <w:t>Facts Support the Findings</w:t>
      </w:r>
      <w:bookmarkEnd w:id="8"/>
    </w:p>
    <w:p w14:paraId="6769E01F" w14:textId="3947D0CA" w:rsidR="00FF3B6A" w:rsidRPr="00851D8A" w:rsidRDefault="00F651DB" w:rsidP="009E3503">
      <w:pPr>
        <w:pStyle w:val="FirstParagraph"/>
      </w:pPr>
      <w:r w:rsidRPr="00851D8A">
        <w:t xml:space="preserve">Reviewers indicated that the facts of the investigation supported the findings in </w:t>
      </w:r>
      <w:r w:rsidR="009E3503" w:rsidRPr="00851D8A">
        <w:rPr>
          <w:color w:val="auto"/>
        </w:rPr>
        <w:t>256 cases (85</w:t>
      </w:r>
      <w:r w:rsidRPr="00851D8A">
        <w:rPr>
          <w:color w:val="auto"/>
        </w:rPr>
        <w:t>%).</w:t>
      </w:r>
      <w:r w:rsidRPr="00851D8A">
        <w:t xml:space="preserve"> </w:t>
      </w:r>
      <w:r w:rsidRPr="00851D8A">
        <w:rPr>
          <w:color w:val="auto"/>
        </w:rPr>
        <w:t xml:space="preserve">For </w:t>
      </w:r>
      <w:r w:rsidR="009E3503" w:rsidRPr="00851D8A">
        <w:rPr>
          <w:color w:val="auto"/>
        </w:rPr>
        <w:t>11</w:t>
      </w:r>
      <w:r w:rsidRPr="00851D8A">
        <w:rPr>
          <w:color w:val="auto"/>
        </w:rPr>
        <w:t xml:space="preserve"> (</w:t>
      </w:r>
      <w:r w:rsidR="009E3503" w:rsidRPr="00851D8A">
        <w:rPr>
          <w:color w:val="auto"/>
        </w:rPr>
        <w:t>4</w:t>
      </w:r>
      <w:r w:rsidRPr="00851D8A">
        <w:rPr>
          <w:color w:val="auto"/>
        </w:rPr>
        <w:t>%)</w:t>
      </w:r>
      <w:r w:rsidRPr="00851D8A">
        <w:t xml:space="preserve"> cases, reviewers indicated the facts did not support the findings, meaning after reading the provider’s rationale the reviewer would have issued a different finding. This could mean the provider substantiated a case that a reviewer would not have, or vice versa.</w:t>
      </w:r>
      <w:r w:rsidR="009E3503" w:rsidRPr="00851D8A">
        <w:t xml:space="preserve"> E</w:t>
      </w:r>
      <w:r w:rsidRPr="00851D8A">
        <w:t>ach quarter, an open-text narrative is assessed by OHR to understand these various reasons why a reviewer may have reached a different finding</w:t>
      </w:r>
      <w:r w:rsidR="009E3503" w:rsidRPr="00851D8A">
        <w:t xml:space="preserve"> from the provider</w:t>
      </w:r>
      <w:r w:rsidRPr="00851D8A">
        <w:t>.</w:t>
      </w:r>
      <w:r w:rsidR="009E3503" w:rsidRPr="00851D8A">
        <w:t xml:space="preserve"> For an additional 33 cases (11%), the reviewer did not have enough evidence to make a determination. This typically refers to a provider’s lack of an investigative report</w:t>
      </w:r>
      <w:r w:rsidR="00D77012">
        <w:t xml:space="preserve"> on site</w:t>
      </w:r>
      <w:r w:rsidR="009E3503" w:rsidRPr="00851D8A">
        <w:t>.</w:t>
      </w:r>
    </w:p>
    <w:p w14:paraId="63C7F6DA" w14:textId="77777777" w:rsidR="00FF3B6A" w:rsidRPr="00851D8A" w:rsidRDefault="00F651DB">
      <w:pPr>
        <w:pStyle w:val="Heading2"/>
      </w:pPr>
      <w:bookmarkStart w:id="9" w:name="dbhds-advocate-actions"/>
      <w:r w:rsidRPr="00851D8A">
        <w:t>DBHDS Advocate Actions</w:t>
      </w:r>
      <w:bookmarkEnd w:id="9"/>
    </w:p>
    <w:p w14:paraId="0955F120" w14:textId="25AD8166" w:rsidR="00FF3B6A" w:rsidRPr="00851D8A" w:rsidRDefault="00F651DB">
      <w:pPr>
        <w:pStyle w:val="FirstParagraph"/>
      </w:pPr>
      <w:r w:rsidRPr="00851D8A">
        <w:t xml:space="preserve">DBHDS Human Rights Advocates indicated 930 actions were taken as they monitored 300 provider investigations (Table 3). Some actions, such as monitoring the provider’s investigation, are considered passive, while </w:t>
      </w:r>
      <w:r w:rsidR="00072A68" w:rsidRPr="00851D8A">
        <w:t>o</w:t>
      </w:r>
      <w:r w:rsidRPr="00851D8A">
        <w:t>ther actions, such as conducting an independent investigation, are considered to be more active efforts that an advocate could take.</w:t>
      </w:r>
    </w:p>
    <w:p w14:paraId="411009A1" w14:textId="77777777" w:rsidR="00FF3B6A" w:rsidRPr="00851D8A" w:rsidRDefault="00F651DB">
      <w:pPr>
        <w:pStyle w:val="Heading6"/>
      </w:pPr>
      <w:bookmarkStart w:id="10" w:name="table-3.-dbhds-advocate-actions-taken"/>
      <w:r w:rsidRPr="00851D8A">
        <w:t>Table 3. DBHDS Advocate Actions Taken</w:t>
      </w:r>
      <w:bookmarkEnd w:id="10"/>
    </w:p>
    <w:tbl>
      <w:tblPr>
        <w:tblW w:w="0" w:type="auto"/>
        <w:jc w:val="center"/>
        <w:tblLayout w:type="fixed"/>
        <w:tblLook w:val="04A0" w:firstRow="1" w:lastRow="0" w:firstColumn="1" w:lastColumn="0" w:noHBand="0" w:noVBand="1"/>
      </w:tblPr>
      <w:tblGrid>
        <w:gridCol w:w="4896"/>
        <w:gridCol w:w="1080"/>
        <w:gridCol w:w="1080"/>
      </w:tblGrid>
      <w:tr w:rsidR="00780F9E" w:rsidRPr="00851D8A" w14:paraId="15397657" w14:textId="77777777">
        <w:trPr>
          <w:cantSplit/>
          <w:trHeight w:hRule="exact" w:val="360"/>
          <w:tblHeader/>
          <w:jc w:val="center"/>
        </w:trPr>
        <w:tc>
          <w:tcPr>
            <w:tcW w:w="4896" w:type="dxa"/>
            <w:tcBorders>
              <w:top w:val="single" w:sz="8" w:space="0" w:color="D9D9D9"/>
              <w:left w:val="single" w:sz="8" w:space="0" w:color="D9D9D9"/>
              <w:bottom w:val="single" w:sz="8" w:space="0" w:color="D9D9D9"/>
            </w:tcBorders>
            <w:shd w:val="clear" w:color="auto" w:fill="30699D"/>
            <w:tcMar>
              <w:top w:w="0" w:type="dxa"/>
              <w:left w:w="0" w:type="dxa"/>
              <w:bottom w:w="0" w:type="dxa"/>
              <w:right w:w="0" w:type="dxa"/>
            </w:tcMar>
            <w:vAlign w:val="center"/>
          </w:tcPr>
          <w:p w14:paraId="2E56F092" w14:textId="77777777" w:rsidR="00780F9E" w:rsidRPr="00851D8A" w:rsidRDefault="00780F9E">
            <w:pPr>
              <w:spacing w:before="40" w:after="40"/>
              <w:ind w:left="100" w:right="100"/>
            </w:pPr>
            <w:r w:rsidRPr="00851D8A">
              <w:rPr>
                <w:rFonts w:eastAsia="Segoe UI" w:cs="Segoe UI"/>
                <w:b/>
                <w:color w:val="FFFFFF"/>
                <w:sz w:val="20"/>
                <w:szCs w:val="20"/>
              </w:rPr>
              <w:t>DBHDS Advocate Actions</w:t>
            </w:r>
          </w:p>
        </w:tc>
        <w:tc>
          <w:tcPr>
            <w:tcW w:w="1080" w:type="dxa"/>
            <w:tcBorders>
              <w:top w:val="single" w:sz="8" w:space="0" w:color="D9D9D9"/>
              <w:bottom w:val="single" w:sz="8" w:space="0" w:color="D9D9D9"/>
            </w:tcBorders>
            <w:shd w:val="clear" w:color="auto" w:fill="30699D"/>
            <w:tcMar>
              <w:top w:w="0" w:type="dxa"/>
              <w:left w:w="0" w:type="dxa"/>
              <w:bottom w:w="0" w:type="dxa"/>
              <w:right w:w="0" w:type="dxa"/>
            </w:tcMar>
            <w:vAlign w:val="center"/>
          </w:tcPr>
          <w:p w14:paraId="5857D932" w14:textId="77777777" w:rsidR="00780F9E" w:rsidRPr="00851D8A" w:rsidRDefault="00780F9E">
            <w:pPr>
              <w:spacing w:before="40" w:after="40"/>
              <w:ind w:left="100" w:right="100"/>
              <w:jc w:val="right"/>
            </w:pPr>
            <w:r w:rsidRPr="00851D8A">
              <w:rPr>
                <w:rFonts w:eastAsia="Segoe UI" w:cs="Segoe UI"/>
                <w:b/>
                <w:color w:val="FFFFFF"/>
                <w:sz w:val="20"/>
                <w:szCs w:val="20"/>
              </w:rPr>
              <w:t>Count</w:t>
            </w:r>
          </w:p>
        </w:tc>
        <w:tc>
          <w:tcPr>
            <w:tcW w:w="1080" w:type="dxa"/>
            <w:tcBorders>
              <w:top w:val="single" w:sz="8" w:space="0" w:color="D9D9D9"/>
              <w:bottom w:val="single" w:sz="8" w:space="0" w:color="D9D9D9"/>
              <w:right w:val="single" w:sz="8" w:space="0" w:color="D9D9D9"/>
            </w:tcBorders>
            <w:shd w:val="clear" w:color="auto" w:fill="30699D"/>
            <w:tcMar>
              <w:top w:w="0" w:type="dxa"/>
              <w:left w:w="0" w:type="dxa"/>
              <w:bottom w:w="0" w:type="dxa"/>
              <w:right w:w="0" w:type="dxa"/>
            </w:tcMar>
            <w:vAlign w:val="center"/>
          </w:tcPr>
          <w:p w14:paraId="3D3429EE" w14:textId="77777777" w:rsidR="00780F9E" w:rsidRPr="00851D8A" w:rsidRDefault="00780F9E">
            <w:pPr>
              <w:spacing w:before="40" w:after="40"/>
              <w:ind w:left="100" w:right="100"/>
              <w:jc w:val="right"/>
            </w:pPr>
            <w:r w:rsidRPr="00851D8A">
              <w:rPr>
                <w:rFonts w:eastAsia="Segoe UI" w:cs="Segoe UI"/>
                <w:b/>
                <w:color w:val="FFFFFF"/>
                <w:sz w:val="20"/>
                <w:szCs w:val="20"/>
              </w:rPr>
              <w:t>Percent</w:t>
            </w:r>
          </w:p>
        </w:tc>
      </w:tr>
      <w:tr w:rsidR="00780F9E" w:rsidRPr="00851D8A" w14:paraId="1703A3C5" w14:textId="77777777">
        <w:trPr>
          <w:cantSplit/>
          <w:trHeight w:hRule="exact" w:val="360"/>
          <w:jc w:val="center"/>
        </w:trPr>
        <w:tc>
          <w:tcPr>
            <w:tcW w:w="4896" w:type="dxa"/>
            <w:tcBorders>
              <w:top w:val="single" w:sz="8" w:space="0" w:color="D9D9D9"/>
              <w:left w:val="single" w:sz="8" w:space="0" w:color="D9D9D9"/>
            </w:tcBorders>
            <w:shd w:val="clear" w:color="auto" w:fill="FFFFFF"/>
            <w:tcMar>
              <w:top w:w="0" w:type="dxa"/>
              <w:left w:w="0" w:type="dxa"/>
              <w:bottom w:w="0" w:type="dxa"/>
              <w:right w:w="0" w:type="dxa"/>
            </w:tcMar>
            <w:vAlign w:val="center"/>
          </w:tcPr>
          <w:p w14:paraId="587DAA24" w14:textId="77777777" w:rsidR="00780F9E" w:rsidRPr="00851D8A" w:rsidRDefault="00780F9E">
            <w:pPr>
              <w:spacing w:before="40" w:after="40"/>
              <w:ind w:left="100" w:right="100"/>
            </w:pPr>
            <w:r w:rsidRPr="00851D8A">
              <w:rPr>
                <w:rFonts w:eastAsia="Segoe UI" w:cs="Segoe UI"/>
                <w:i/>
                <w:color w:val="111111"/>
                <w:sz w:val="20"/>
                <w:szCs w:val="20"/>
              </w:rPr>
              <w:t>OK to Close Case</w:t>
            </w:r>
          </w:p>
        </w:tc>
        <w:tc>
          <w:tcPr>
            <w:tcW w:w="1080" w:type="dxa"/>
            <w:tcBorders>
              <w:top w:val="single" w:sz="8" w:space="0" w:color="D9D9D9"/>
            </w:tcBorders>
            <w:shd w:val="clear" w:color="auto" w:fill="FFFFFF"/>
            <w:tcMar>
              <w:top w:w="0" w:type="dxa"/>
              <w:left w:w="0" w:type="dxa"/>
              <w:bottom w:w="0" w:type="dxa"/>
              <w:right w:w="0" w:type="dxa"/>
            </w:tcMar>
            <w:vAlign w:val="center"/>
          </w:tcPr>
          <w:p w14:paraId="67F50C4E" w14:textId="77777777" w:rsidR="00780F9E" w:rsidRPr="00851D8A" w:rsidRDefault="00780F9E">
            <w:pPr>
              <w:spacing w:before="40" w:after="40"/>
              <w:ind w:left="100" w:right="100"/>
              <w:jc w:val="right"/>
            </w:pPr>
            <w:r w:rsidRPr="00851D8A">
              <w:rPr>
                <w:rFonts w:eastAsia="Segoe UI" w:cs="Segoe UI"/>
                <w:color w:val="111111"/>
                <w:sz w:val="20"/>
                <w:szCs w:val="20"/>
              </w:rPr>
              <w:t>274</w:t>
            </w:r>
          </w:p>
        </w:tc>
        <w:tc>
          <w:tcPr>
            <w:tcW w:w="1080" w:type="dxa"/>
            <w:tcBorders>
              <w:top w:val="single" w:sz="8" w:space="0" w:color="D9D9D9"/>
              <w:right w:val="single" w:sz="8" w:space="0" w:color="D9D9D9"/>
            </w:tcBorders>
            <w:shd w:val="clear" w:color="auto" w:fill="FFFFFF"/>
            <w:tcMar>
              <w:top w:w="0" w:type="dxa"/>
              <w:left w:w="0" w:type="dxa"/>
              <w:bottom w:w="0" w:type="dxa"/>
              <w:right w:w="0" w:type="dxa"/>
            </w:tcMar>
            <w:vAlign w:val="center"/>
          </w:tcPr>
          <w:p w14:paraId="3EE5F563" w14:textId="77777777" w:rsidR="00780F9E" w:rsidRPr="00851D8A" w:rsidRDefault="00780F9E">
            <w:pPr>
              <w:spacing w:before="40" w:after="40"/>
              <w:ind w:left="100" w:right="100"/>
              <w:jc w:val="right"/>
            </w:pPr>
            <w:r w:rsidRPr="00851D8A">
              <w:rPr>
                <w:rFonts w:eastAsia="Segoe UI" w:cs="Segoe UI"/>
                <w:color w:val="111111"/>
                <w:sz w:val="20"/>
                <w:szCs w:val="20"/>
              </w:rPr>
              <w:t>91%</w:t>
            </w:r>
          </w:p>
        </w:tc>
      </w:tr>
      <w:tr w:rsidR="00780F9E" w:rsidRPr="00851D8A" w14:paraId="35E83DAD"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01AE7704" w14:textId="77777777" w:rsidR="00780F9E" w:rsidRPr="00851D8A" w:rsidRDefault="00780F9E">
            <w:pPr>
              <w:spacing w:before="40" w:after="40"/>
              <w:ind w:left="100" w:right="100"/>
            </w:pPr>
            <w:r w:rsidRPr="00851D8A">
              <w:rPr>
                <w:rFonts w:eastAsia="Segoe UI" w:cs="Segoe UI"/>
                <w:i/>
                <w:color w:val="111111"/>
                <w:sz w:val="20"/>
                <w:szCs w:val="20"/>
              </w:rPr>
              <w:t>Monitored Investigation</w:t>
            </w:r>
          </w:p>
        </w:tc>
        <w:tc>
          <w:tcPr>
            <w:tcW w:w="1080" w:type="dxa"/>
            <w:shd w:val="clear" w:color="auto" w:fill="FFFFFF"/>
            <w:tcMar>
              <w:top w:w="0" w:type="dxa"/>
              <w:left w:w="0" w:type="dxa"/>
              <w:bottom w:w="0" w:type="dxa"/>
              <w:right w:w="0" w:type="dxa"/>
            </w:tcMar>
            <w:vAlign w:val="center"/>
          </w:tcPr>
          <w:p w14:paraId="1D187BA5" w14:textId="77777777" w:rsidR="00780F9E" w:rsidRPr="00851D8A" w:rsidRDefault="00780F9E">
            <w:pPr>
              <w:spacing w:before="40" w:after="40"/>
              <w:ind w:left="100" w:right="100"/>
              <w:jc w:val="right"/>
            </w:pPr>
            <w:r w:rsidRPr="00851D8A">
              <w:rPr>
                <w:rFonts w:eastAsia="Segoe UI" w:cs="Segoe UI"/>
                <w:color w:val="111111"/>
                <w:sz w:val="20"/>
                <w:szCs w:val="20"/>
              </w:rPr>
              <w:t>170</w:t>
            </w:r>
          </w:p>
        </w:tc>
        <w:tc>
          <w:tcPr>
            <w:tcW w:w="1080" w:type="dxa"/>
            <w:tcBorders>
              <w:right w:val="single" w:sz="8" w:space="0" w:color="D9D9D9"/>
            </w:tcBorders>
            <w:shd w:val="clear" w:color="auto" w:fill="FFFFFF"/>
            <w:tcMar>
              <w:top w:w="0" w:type="dxa"/>
              <w:left w:w="0" w:type="dxa"/>
              <w:bottom w:w="0" w:type="dxa"/>
              <w:right w:w="0" w:type="dxa"/>
            </w:tcMar>
            <w:vAlign w:val="center"/>
          </w:tcPr>
          <w:p w14:paraId="4F4C1C58" w14:textId="77777777" w:rsidR="00780F9E" w:rsidRPr="00851D8A" w:rsidRDefault="00780F9E">
            <w:pPr>
              <w:spacing w:before="40" w:after="40"/>
              <w:ind w:left="100" w:right="100"/>
              <w:jc w:val="right"/>
            </w:pPr>
            <w:r w:rsidRPr="00851D8A">
              <w:rPr>
                <w:rFonts w:eastAsia="Segoe UI" w:cs="Segoe UI"/>
                <w:color w:val="111111"/>
                <w:sz w:val="20"/>
                <w:szCs w:val="20"/>
              </w:rPr>
              <w:t>57%</w:t>
            </w:r>
          </w:p>
        </w:tc>
      </w:tr>
      <w:tr w:rsidR="00780F9E" w:rsidRPr="00851D8A" w14:paraId="51E6DB70"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2992EA4B" w14:textId="77777777" w:rsidR="00780F9E" w:rsidRPr="00851D8A" w:rsidRDefault="00780F9E">
            <w:pPr>
              <w:spacing w:before="40" w:after="40"/>
              <w:ind w:left="100" w:right="100"/>
            </w:pPr>
            <w:r w:rsidRPr="00851D8A">
              <w:rPr>
                <w:rFonts w:eastAsia="Segoe UI" w:cs="Segoe UI"/>
                <w:i/>
                <w:color w:val="111111"/>
                <w:sz w:val="20"/>
                <w:szCs w:val="20"/>
              </w:rPr>
              <w:t>Other</w:t>
            </w:r>
          </w:p>
        </w:tc>
        <w:tc>
          <w:tcPr>
            <w:tcW w:w="1080" w:type="dxa"/>
            <w:shd w:val="clear" w:color="auto" w:fill="FFFFFF"/>
            <w:tcMar>
              <w:top w:w="0" w:type="dxa"/>
              <w:left w:w="0" w:type="dxa"/>
              <w:bottom w:w="0" w:type="dxa"/>
              <w:right w:w="0" w:type="dxa"/>
            </w:tcMar>
            <w:vAlign w:val="center"/>
          </w:tcPr>
          <w:p w14:paraId="04330DED" w14:textId="77777777" w:rsidR="00780F9E" w:rsidRPr="00851D8A" w:rsidRDefault="00780F9E">
            <w:pPr>
              <w:spacing w:before="40" w:after="40"/>
              <w:ind w:left="100" w:right="100"/>
              <w:jc w:val="right"/>
            </w:pPr>
            <w:r w:rsidRPr="00851D8A">
              <w:rPr>
                <w:rFonts w:eastAsia="Segoe UI" w:cs="Segoe UI"/>
                <w:color w:val="111111"/>
                <w:sz w:val="20"/>
                <w:szCs w:val="20"/>
              </w:rPr>
              <w:t>112</w:t>
            </w:r>
          </w:p>
        </w:tc>
        <w:tc>
          <w:tcPr>
            <w:tcW w:w="1080" w:type="dxa"/>
            <w:tcBorders>
              <w:right w:val="single" w:sz="8" w:space="0" w:color="D9D9D9"/>
            </w:tcBorders>
            <w:shd w:val="clear" w:color="auto" w:fill="FFFFFF"/>
            <w:tcMar>
              <w:top w:w="0" w:type="dxa"/>
              <w:left w:w="0" w:type="dxa"/>
              <w:bottom w:w="0" w:type="dxa"/>
              <w:right w:w="0" w:type="dxa"/>
            </w:tcMar>
            <w:vAlign w:val="center"/>
          </w:tcPr>
          <w:p w14:paraId="35A9E5EF" w14:textId="77777777" w:rsidR="00780F9E" w:rsidRPr="00851D8A" w:rsidRDefault="00780F9E">
            <w:pPr>
              <w:spacing w:before="40" w:after="40"/>
              <w:ind w:left="100" w:right="100"/>
              <w:jc w:val="right"/>
            </w:pPr>
            <w:r w:rsidRPr="00851D8A">
              <w:rPr>
                <w:rFonts w:eastAsia="Segoe UI" w:cs="Segoe UI"/>
                <w:color w:val="111111"/>
                <w:sz w:val="20"/>
                <w:szCs w:val="20"/>
              </w:rPr>
              <w:t>37%</w:t>
            </w:r>
          </w:p>
        </w:tc>
      </w:tr>
      <w:tr w:rsidR="00780F9E" w:rsidRPr="00851D8A" w14:paraId="068C8475"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207D3AD2" w14:textId="77777777" w:rsidR="00780F9E" w:rsidRPr="00851D8A" w:rsidRDefault="00780F9E">
            <w:pPr>
              <w:spacing w:before="40" w:after="40"/>
              <w:ind w:left="100" w:right="100"/>
            </w:pPr>
            <w:r w:rsidRPr="00851D8A">
              <w:rPr>
                <w:rFonts w:eastAsia="Segoe UI" w:cs="Segoe UI"/>
                <w:i/>
                <w:color w:val="111111"/>
                <w:sz w:val="20"/>
                <w:szCs w:val="20"/>
              </w:rPr>
              <w:t>Citation of Violation sent to Office of Licensing</w:t>
            </w:r>
          </w:p>
        </w:tc>
        <w:tc>
          <w:tcPr>
            <w:tcW w:w="1080" w:type="dxa"/>
            <w:shd w:val="clear" w:color="auto" w:fill="FFFFFF"/>
            <w:tcMar>
              <w:top w:w="0" w:type="dxa"/>
              <w:left w:w="0" w:type="dxa"/>
              <w:bottom w:w="0" w:type="dxa"/>
              <w:right w:w="0" w:type="dxa"/>
            </w:tcMar>
            <w:vAlign w:val="center"/>
          </w:tcPr>
          <w:p w14:paraId="7F4649AD" w14:textId="77777777" w:rsidR="00780F9E" w:rsidRPr="00851D8A" w:rsidRDefault="00780F9E">
            <w:pPr>
              <w:spacing w:before="40" w:after="40"/>
              <w:ind w:left="100" w:right="100"/>
              <w:jc w:val="right"/>
            </w:pPr>
            <w:r w:rsidRPr="00851D8A">
              <w:rPr>
                <w:rFonts w:eastAsia="Segoe UI" w:cs="Segoe UI"/>
                <w:color w:val="111111"/>
                <w:sz w:val="20"/>
                <w:szCs w:val="20"/>
              </w:rPr>
              <w:t>87</w:t>
            </w:r>
          </w:p>
        </w:tc>
        <w:tc>
          <w:tcPr>
            <w:tcW w:w="1080" w:type="dxa"/>
            <w:tcBorders>
              <w:right w:val="single" w:sz="8" w:space="0" w:color="D9D9D9"/>
            </w:tcBorders>
            <w:shd w:val="clear" w:color="auto" w:fill="FFFFFF"/>
            <w:tcMar>
              <w:top w:w="0" w:type="dxa"/>
              <w:left w:w="0" w:type="dxa"/>
              <w:bottom w:w="0" w:type="dxa"/>
              <w:right w:w="0" w:type="dxa"/>
            </w:tcMar>
            <w:vAlign w:val="center"/>
          </w:tcPr>
          <w:p w14:paraId="46856550" w14:textId="77777777" w:rsidR="00780F9E" w:rsidRPr="00851D8A" w:rsidRDefault="00780F9E">
            <w:pPr>
              <w:spacing w:before="40" w:after="40"/>
              <w:ind w:left="100" w:right="100"/>
              <w:jc w:val="right"/>
            </w:pPr>
            <w:r w:rsidRPr="00851D8A">
              <w:rPr>
                <w:rFonts w:eastAsia="Segoe UI" w:cs="Segoe UI"/>
                <w:color w:val="111111"/>
                <w:sz w:val="20"/>
                <w:szCs w:val="20"/>
              </w:rPr>
              <w:t>29%</w:t>
            </w:r>
          </w:p>
        </w:tc>
      </w:tr>
      <w:tr w:rsidR="00780F9E" w:rsidRPr="00851D8A" w14:paraId="6B368050"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7C2408A" w14:textId="77777777" w:rsidR="00780F9E" w:rsidRPr="00851D8A" w:rsidRDefault="00780F9E">
            <w:pPr>
              <w:spacing w:before="40" w:after="40"/>
              <w:ind w:left="100" w:right="100"/>
            </w:pPr>
            <w:r w:rsidRPr="00851D8A">
              <w:rPr>
                <w:rFonts w:eastAsia="Segoe UI" w:cs="Segoe UI"/>
                <w:i/>
                <w:color w:val="111111"/>
                <w:sz w:val="20"/>
                <w:szCs w:val="20"/>
              </w:rPr>
              <w:t>Consulted with provider</w:t>
            </w:r>
          </w:p>
        </w:tc>
        <w:tc>
          <w:tcPr>
            <w:tcW w:w="1080" w:type="dxa"/>
            <w:shd w:val="clear" w:color="auto" w:fill="FFFFFF"/>
            <w:tcMar>
              <w:top w:w="0" w:type="dxa"/>
              <w:left w:w="0" w:type="dxa"/>
              <w:bottom w:w="0" w:type="dxa"/>
              <w:right w:w="0" w:type="dxa"/>
            </w:tcMar>
            <w:vAlign w:val="center"/>
          </w:tcPr>
          <w:p w14:paraId="5232C546" w14:textId="77777777" w:rsidR="00780F9E" w:rsidRPr="00851D8A" w:rsidRDefault="00780F9E">
            <w:pPr>
              <w:spacing w:before="40" w:after="40"/>
              <w:ind w:left="100" w:right="100"/>
              <w:jc w:val="right"/>
            </w:pPr>
            <w:r w:rsidRPr="00851D8A">
              <w:rPr>
                <w:rFonts w:eastAsia="Segoe UI" w:cs="Segoe UI"/>
                <w:color w:val="111111"/>
                <w:sz w:val="20"/>
                <w:szCs w:val="20"/>
              </w:rPr>
              <w:t>76</w:t>
            </w:r>
          </w:p>
        </w:tc>
        <w:tc>
          <w:tcPr>
            <w:tcW w:w="1080" w:type="dxa"/>
            <w:tcBorders>
              <w:right w:val="single" w:sz="8" w:space="0" w:color="D9D9D9"/>
            </w:tcBorders>
            <w:shd w:val="clear" w:color="auto" w:fill="FFFFFF"/>
            <w:tcMar>
              <w:top w:w="0" w:type="dxa"/>
              <w:left w:w="0" w:type="dxa"/>
              <w:bottom w:w="0" w:type="dxa"/>
              <w:right w:w="0" w:type="dxa"/>
            </w:tcMar>
            <w:vAlign w:val="center"/>
          </w:tcPr>
          <w:p w14:paraId="00C6F1CA" w14:textId="77777777" w:rsidR="00780F9E" w:rsidRPr="00851D8A" w:rsidRDefault="00780F9E">
            <w:pPr>
              <w:spacing w:before="40" w:after="40"/>
              <w:ind w:left="100" w:right="100"/>
              <w:jc w:val="right"/>
            </w:pPr>
            <w:r w:rsidRPr="00851D8A">
              <w:rPr>
                <w:rFonts w:eastAsia="Segoe UI" w:cs="Segoe UI"/>
                <w:color w:val="111111"/>
                <w:sz w:val="20"/>
                <w:szCs w:val="20"/>
              </w:rPr>
              <w:t>25%</w:t>
            </w:r>
          </w:p>
        </w:tc>
      </w:tr>
      <w:tr w:rsidR="00780F9E" w:rsidRPr="00851D8A" w14:paraId="4D108D2A" w14:textId="77777777" w:rsidTr="00780F9E">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24E5642B"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Lookbehind</w:t>
            </w:r>
          </w:p>
        </w:tc>
        <w:tc>
          <w:tcPr>
            <w:tcW w:w="1080" w:type="dxa"/>
            <w:shd w:val="clear" w:color="auto" w:fill="FFFFFF"/>
            <w:tcMar>
              <w:top w:w="0" w:type="dxa"/>
              <w:left w:w="0" w:type="dxa"/>
              <w:bottom w:w="0" w:type="dxa"/>
              <w:right w:w="0" w:type="dxa"/>
            </w:tcMar>
            <w:vAlign w:val="center"/>
          </w:tcPr>
          <w:p w14:paraId="0F40823E"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76</w:t>
            </w:r>
          </w:p>
        </w:tc>
        <w:tc>
          <w:tcPr>
            <w:tcW w:w="1080" w:type="dxa"/>
            <w:tcBorders>
              <w:right w:val="single" w:sz="8" w:space="0" w:color="D9D9D9"/>
            </w:tcBorders>
            <w:shd w:val="clear" w:color="auto" w:fill="FFFFFF"/>
            <w:tcMar>
              <w:top w:w="0" w:type="dxa"/>
              <w:left w:w="0" w:type="dxa"/>
              <w:bottom w:w="0" w:type="dxa"/>
              <w:right w:w="0" w:type="dxa"/>
            </w:tcMar>
            <w:vAlign w:val="center"/>
          </w:tcPr>
          <w:p w14:paraId="38D135FA"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25%</w:t>
            </w:r>
          </w:p>
        </w:tc>
      </w:tr>
      <w:tr w:rsidR="00780F9E" w:rsidRPr="00851D8A" w14:paraId="0963BE89" w14:textId="77777777" w:rsidTr="007D2B28">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0F0459D4"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Communication with Provider</w:t>
            </w:r>
          </w:p>
        </w:tc>
        <w:tc>
          <w:tcPr>
            <w:tcW w:w="1080" w:type="dxa"/>
            <w:shd w:val="clear" w:color="auto" w:fill="FFFFFF"/>
            <w:tcMar>
              <w:top w:w="0" w:type="dxa"/>
              <w:left w:w="0" w:type="dxa"/>
              <w:bottom w:w="0" w:type="dxa"/>
              <w:right w:w="0" w:type="dxa"/>
            </w:tcMar>
            <w:vAlign w:val="center"/>
          </w:tcPr>
          <w:p w14:paraId="34F6DE20"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71</w:t>
            </w:r>
          </w:p>
        </w:tc>
        <w:tc>
          <w:tcPr>
            <w:tcW w:w="1080" w:type="dxa"/>
            <w:tcBorders>
              <w:right w:val="single" w:sz="8" w:space="0" w:color="D9D9D9"/>
            </w:tcBorders>
            <w:shd w:val="clear" w:color="auto" w:fill="FFFFFF"/>
            <w:tcMar>
              <w:top w:w="0" w:type="dxa"/>
              <w:left w:w="0" w:type="dxa"/>
              <w:bottom w:w="0" w:type="dxa"/>
              <w:right w:w="0" w:type="dxa"/>
            </w:tcMar>
            <w:vAlign w:val="center"/>
          </w:tcPr>
          <w:p w14:paraId="7DB44FBB"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24%</w:t>
            </w:r>
          </w:p>
        </w:tc>
      </w:tr>
      <w:tr w:rsidR="00780F9E" w:rsidRPr="00851D8A" w14:paraId="48A46C0B"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2913C26" w14:textId="77777777" w:rsidR="00780F9E" w:rsidRPr="00851D8A" w:rsidRDefault="00780F9E">
            <w:pPr>
              <w:spacing w:before="40" w:after="40"/>
              <w:ind w:left="100" w:right="100"/>
            </w:pPr>
            <w:r w:rsidRPr="00851D8A">
              <w:rPr>
                <w:rFonts w:eastAsia="Segoe UI" w:cs="Segoe UI"/>
                <w:i/>
                <w:color w:val="111111"/>
                <w:sz w:val="20"/>
                <w:szCs w:val="20"/>
              </w:rPr>
              <w:t>Memo to provider</w:t>
            </w:r>
          </w:p>
        </w:tc>
        <w:tc>
          <w:tcPr>
            <w:tcW w:w="1080" w:type="dxa"/>
            <w:shd w:val="clear" w:color="auto" w:fill="FFFFFF"/>
            <w:tcMar>
              <w:top w:w="0" w:type="dxa"/>
              <w:left w:w="0" w:type="dxa"/>
              <w:bottom w:w="0" w:type="dxa"/>
              <w:right w:w="0" w:type="dxa"/>
            </w:tcMar>
            <w:vAlign w:val="center"/>
          </w:tcPr>
          <w:p w14:paraId="28BD685B" w14:textId="77777777" w:rsidR="00780F9E" w:rsidRPr="00851D8A" w:rsidRDefault="00780F9E">
            <w:pPr>
              <w:spacing w:before="40" w:after="40"/>
              <w:ind w:left="100" w:right="100"/>
              <w:jc w:val="right"/>
            </w:pPr>
            <w:r w:rsidRPr="00851D8A">
              <w:rPr>
                <w:rFonts w:eastAsia="Segoe UI" w:cs="Segoe UI"/>
                <w:color w:val="111111"/>
                <w:sz w:val="20"/>
                <w:szCs w:val="20"/>
              </w:rPr>
              <w:t>63</w:t>
            </w:r>
          </w:p>
        </w:tc>
        <w:tc>
          <w:tcPr>
            <w:tcW w:w="1080" w:type="dxa"/>
            <w:tcBorders>
              <w:right w:val="single" w:sz="8" w:space="0" w:color="D9D9D9"/>
            </w:tcBorders>
            <w:shd w:val="clear" w:color="auto" w:fill="FFFFFF"/>
            <w:tcMar>
              <w:top w:w="0" w:type="dxa"/>
              <w:left w:w="0" w:type="dxa"/>
              <w:bottom w:w="0" w:type="dxa"/>
              <w:right w:w="0" w:type="dxa"/>
            </w:tcMar>
            <w:vAlign w:val="center"/>
          </w:tcPr>
          <w:p w14:paraId="055929C7" w14:textId="77777777" w:rsidR="00780F9E" w:rsidRPr="00851D8A" w:rsidRDefault="00780F9E">
            <w:pPr>
              <w:spacing w:before="40" w:after="40"/>
              <w:ind w:left="100" w:right="100"/>
              <w:jc w:val="right"/>
            </w:pPr>
            <w:r w:rsidRPr="00851D8A">
              <w:rPr>
                <w:rFonts w:eastAsia="Segoe UI" w:cs="Segoe UI"/>
                <w:color w:val="111111"/>
                <w:sz w:val="20"/>
                <w:szCs w:val="20"/>
              </w:rPr>
              <w:t>21%</w:t>
            </w:r>
          </w:p>
        </w:tc>
      </w:tr>
      <w:tr w:rsidR="00780F9E" w:rsidRPr="00851D8A" w14:paraId="395309CE" w14:textId="77777777" w:rsidTr="00780F9E">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66D1B70A"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AIM visit</w:t>
            </w:r>
          </w:p>
        </w:tc>
        <w:tc>
          <w:tcPr>
            <w:tcW w:w="1080" w:type="dxa"/>
            <w:shd w:val="clear" w:color="auto" w:fill="FFFFFF"/>
            <w:tcMar>
              <w:top w:w="0" w:type="dxa"/>
              <w:left w:w="0" w:type="dxa"/>
              <w:bottom w:w="0" w:type="dxa"/>
              <w:right w:w="0" w:type="dxa"/>
            </w:tcMar>
            <w:vAlign w:val="center"/>
          </w:tcPr>
          <w:p w14:paraId="1667DAB2"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48</w:t>
            </w:r>
          </w:p>
        </w:tc>
        <w:tc>
          <w:tcPr>
            <w:tcW w:w="1080" w:type="dxa"/>
            <w:tcBorders>
              <w:right w:val="single" w:sz="8" w:space="0" w:color="D9D9D9"/>
            </w:tcBorders>
            <w:shd w:val="clear" w:color="auto" w:fill="FFFFFF"/>
            <w:tcMar>
              <w:top w:w="0" w:type="dxa"/>
              <w:left w:w="0" w:type="dxa"/>
              <w:bottom w:w="0" w:type="dxa"/>
              <w:right w:w="0" w:type="dxa"/>
            </w:tcMar>
            <w:vAlign w:val="center"/>
          </w:tcPr>
          <w:p w14:paraId="293D8CE6"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16%</w:t>
            </w:r>
          </w:p>
        </w:tc>
      </w:tr>
      <w:tr w:rsidR="00780F9E" w:rsidRPr="00851D8A" w14:paraId="6F3064F4"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41ABEACB" w14:textId="77777777" w:rsidR="00780F9E" w:rsidRPr="00851D8A" w:rsidRDefault="00780F9E">
            <w:pPr>
              <w:spacing w:before="40" w:after="40"/>
              <w:ind w:left="100" w:right="100"/>
            </w:pPr>
            <w:r w:rsidRPr="00851D8A">
              <w:rPr>
                <w:rFonts w:eastAsia="Segoe UI" w:cs="Segoe UI"/>
                <w:i/>
                <w:color w:val="111111"/>
                <w:sz w:val="20"/>
                <w:szCs w:val="20"/>
              </w:rPr>
              <w:t>Reviewed Investigation Report</w:t>
            </w:r>
          </w:p>
        </w:tc>
        <w:tc>
          <w:tcPr>
            <w:tcW w:w="1080" w:type="dxa"/>
            <w:shd w:val="clear" w:color="auto" w:fill="FFFFFF"/>
            <w:tcMar>
              <w:top w:w="0" w:type="dxa"/>
              <w:left w:w="0" w:type="dxa"/>
              <w:bottom w:w="0" w:type="dxa"/>
              <w:right w:w="0" w:type="dxa"/>
            </w:tcMar>
            <w:vAlign w:val="center"/>
          </w:tcPr>
          <w:p w14:paraId="7B5B481B" w14:textId="77777777" w:rsidR="00780F9E" w:rsidRPr="00851D8A" w:rsidRDefault="00780F9E">
            <w:pPr>
              <w:spacing w:before="40" w:after="40"/>
              <w:ind w:left="100" w:right="100"/>
              <w:jc w:val="right"/>
            </w:pPr>
            <w:r w:rsidRPr="00851D8A">
              <w:rPr>
                <w:rFonts w:eastAsia="Segoe UI" w:cs="Segoe UI"/>
                <w:color w:val="111111"/>
                <w:sz w:val="20"/>
                <w:szCs w:val="20"/>
              </w:rPr>
              <w:t>45</w:t>
            </w:r>
          </w:p>
        </w:tc>
        <w:tc>
          <w:tcPr>
            <w:tcW w:w="1080" w:type="dxa"/>
            <w:tcBorders>
              <w:right w:val="single" w:sz="8" w:space="0" w:color="D9D9D9"/>
            </w:tcBorders>
            <w:shd w:val="clear" w:color="auto" w:fill="FFFFFF"/>
            <w:tcMar>
              <w:top w:w="0" w:type="dxa"/>
              <w:left w:w="0" w:type="dxa"/>
              <w:bottom w:w="0" w:type="dxa"/>
              <w:right w:w="0" w:type="dxa"/>
            </w:tcMar>
            <w:vAlign w:val="center"/>
          </w:tcPr>
          <w:p w14:paraId="77EA3641" w14:textId="77777777" w:rsidR="00780F9E" w:rsidRPr="00851D8A" w:rsidRDefault="00780F9E">
            <w:pPr>
              <w:spacing w:before="40" w:after="40"/>
              <w:ind w:left="100" w:right="100"/>
              <w:jc w:val="right"/>
            </w:pPr>
            <w:r w:rsidRPr="00851D8A">
              <w:rPr>
                <w:rFonts w:eastAsia="Segoe UI" w:cs="Segoe UI"/>
                <w:color w:val="111111"/>
                <w:sz w:val="20"/>
                <w:szCs w:val="20"/>
              </w:rPr>
              <w:t>15%</w:t>
            </w:r>
          </w:p>
        </w:tc>
      </w:tr>
      <w:tr w:rsidR="00780F9E" w:rsidRPr="00851D8A" w14:paraId="7099B86F" w14:textId="77777777" w:rsidTr="007D2B28">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2E9DE2E5"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OL CAP Correspondence</w:t>
            </w:r>
          </w:p>
        </w:tc>
        <w:tc>
          <w:tcPr>
            <w:tcW w:w="1080" w:type="dxa"/>
            <w:shd w:val="clear" w:color="auto" w:fill="FFFFFF"/>
            <w:tcMar>
              <w:top w:w="0" w:type="dxa"/>
              <w:left w:w="0" w:type="dxa"/>
              <w:bottom w:w="0" w:type="dxa"/>
              <w:right w:w="0" w:type="dxa"/>
            </w:tcMar>
            <w:vAlign w:val="center"/>
          </w:tcPr>
          <w:p w14:paraId="7A164793"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39</w:t>
            </w:r>
          </w:p>
        </w:tc>
        <w:tc>
          <w:tcPr>
            <w:tcW w:w="1080" w:type="dxa"/>
            <w:tcBorders>
              <w:right w:val="single" w:sz="8" w:space="0" w:color="D9D9D9"/>
            </w:tcBorders>
            <w:shd w:val="clear" w:color="auto" w:fill="FFFFFF"/>
            <w:tcMar>
              <w:top w:w="0" w:type="dxa"/>
              <w:left w:w="0" w:type="dxa"/>
              <w:bottom w:w="0" w:type="dxa"/>
              <w:right w:w="0" w:type="dxa"/>
            </w:tcMar>
            <w:vAlign w:val="center"/>
          </w:tcPr>
          <w:p w14:paraId="43C4D12E"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13%</w:t>
            </w:r>
          </w:p>
        </w:tc>
      </w:tr>
      <w:tr w:rsidR="00780F9E" w:rsidRPr="00851D8A" w14:paraId="228C9F10" w14:textId="77777777" w:rsidTr="007D2B28">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4457BA6"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Other Correspondence</w:t>
            </w:r>
          </w:p>
        </w:tc>
        <w:tc>
          <w:tcPr>
            <w:tcW w:w="1080" w:type="dxa"/>
            <w:shd w:val="clear" w:color="auto" w:fill="FFFFFF"/>
            <w:tcMar>
              <w:top w:w="0" w:type="dxa"/>
              <w:left w:w="0" w:type="dxa"/>
              <w:bottom w:w="0" w:type="dxa"/>
              <w:right w:w="0" w:type="dxa"/>
            </w:tcMar>
            <w:vAlign w:val="center"/>
          </w:tcPr>
          <w:p w14:paraId="08A57CEE"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35</w:t>
            </w:r>
          </w:p>
        </w:tc>
        <w:tc>
          <w:tcPr>
            <w:tcW w:w="1080" w:type="dxa"/>
            <w:tcBorders>
              <w:right w:val="single" w:sz="8" w:space="0" w:color="D9D9D9"/>
            </w:tcBorders>
            <w:shd w:val="clear" w:color="auto" w:fill="FFFFFF"/>
            <w:tcMar>
              <w:top w:w="0" w:type="dxa"/>
              <w:left w:w="0" w:type="dxa"/>
              <w:bottom w:w="0" w:type="dxa"/>
              <w:right w:w="0" w:type="dxa"/>
            </w:tcMar>
            <w:vAlign w:val="center"/>
          </w:tcPr>
          <w:p w14:paraId="4FB65FF8"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12%</w:t>
            </w:r>
          </w:p>
        </w:tc>
      </w:tr>
      <w:tr w:rsidR="00780F9E" w:rsidRPr="00851D8A" w14:paraId="730785A2"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07BEE6DB" w14:textId="77777777" w:rsidR="00780F9E" w:rsidRPr="00851D8A" w:rsidRDefault="00780F9E">
            <w:pPr>
              <w:spacing w:before="40" w:after="40"/>
              <w:ind w:left="100" w:right="100"/>
            </w:pPr>
            <w:r w:rsidRPr="00851D8A">
              <w:rPr>
                <w:rFonts w:eastAsia="Segoe UI" w:cs="Segoe UI"/>
                <w:i/>
                <w:color w:val="111111"/>
                <w:sz w:val="20"/>
                <w:szCs w:val="20"/>
              </w:rPr>
              <w:t>Referral to Office of Licensing</w:t>
            </w:r>
          </w:p>
        </w:tc>
        <w:tc>
          <w:tcPr>
            <w:tcW w:w="1080" w:type="dxa"/>
            <w:shd w:val="clear" w:color="auto" w:fill="FFFFFF"/>
            <w:tcMar>
              <w:top w:w="0" w:type="dxa"/>
              <w:left w:w="0" w:type="dxa"/>
              <w:bottom w:w="0" w:type="dxa"/>
              <w:right w:w="0" w:type="dxa"/>
            </w:tcMar>
            <w:vAlign w:val="center"/>
          </w:tcPr>
          <w:p w14:paraId="41AB2252" w14:textId="77777777" w:rsidR="00780F9E" w:rsidRPr="00851D8A" w:rsidRDefault="00780F9E">
            <w:pPr>
              <w:spacing w:before="40" w:after="40"/>
              <w:ind w:left="100" w:right="100"/>
              <w:jc w:val="right"/>
            </w:pPr>
            <w:r w:rsidRPr="00851D8A">
              <w:rPr>
                <w:rFonts w:eastAsia="Segoe UI" w:cs="Segoe UI"/>
                <w:color w:val="111111"/>
                <w:sz w:val="20"/>
                <w:szCs w:val="20"/>
              </w:rPr>
              <w:t>32</w:t>
            </w:r>
          </w:p>
        </w:tc>
        <w:tc>
          <w:tcPr>
            <w:tcW w:w="1080" w:type="dxa"/>
            <w:tcBorders>
              <w:right w:val="single" w:sz="8" w:space="0" w:color="D9D9D9"/>
            </w:tcBorders>
            <w:shd w:val="clear" w:color="auto" w:fill="FFFFFF"/>
            <w:tcMar>
              <w:top w:w="0" w:type="dxa"/>
              <w:left w:w="0" w:type="dxa"/>
              <w:bottom w:w="0" w:type="dxa"/>
              <w:right w:w="0" w:type="dxa"/>
            </w:tcMar>
            <w:vAlign w:val="center"/>
          </w:tcPr>
          <w:p w14:paraId="5D50778F" w14:textId="77777777" w:rsidR="00780F9E" w:rsidRPr="00851D8A" w:rsidRDefault="00780F9E">
            <w:pPr>
              <w:spacing w:before="40" w:after="40"/>
              <w:ind w:left="100" w:right="100"/>
              <w:jc w:val="right"/>
            </w:pPr>
            <w:r w:rsidRPr="00851D8A">
              <w:rPr>
                <w:rFonts w:eastAsia="Segoe UI" w:cs="Segoe UI"/>
                <w:color w:val="111111"/>
                <w:sz w:val="20"/>
                <w:szCs w:val="20"/>
              </w:rPr>
              <w:t>11%</w:t>
            </w:r>
          </w:p>
        </w:tc>
      </w:tr>
      <w:tr w:rsidR="00780F9E" w:rsidRPr="00851D8A" w14:paraId="39356AA3"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029E8C25" w14:textId="77777777" w:rsidR="00780F9E" w:rsidRPr="00851D8A" w:rsidRDefault="00780F9E">
            <w:pPr>
              <w:spacing w:before="40" w:after="40"/>
              <w:ind w:left="100" w:right="100"/>
            </w:pPr>
            <w:r w:rsidRPr="00851D8A">
              <w:rPr>
                <w:rFonts w:eastAsia="Segoe UI" w:cs="Segoe UI"/>
                <w:i/>
                <w:color w:val="111111"/>
                <w:sz w:val="20"/>
                <w:szCs w:val="20"/>
              </w:rPr>
              <w:t>Reviewed Individual record</w:t>
            </w:r>
          </w:p>
        </w:tc>
        <w:tc>
          <w:tcPr>
            <w:tcW w:w="1080" w:type="dxa"/>
            <w:shd w:val="clear" w:color="auto" w:fill="FFFFFF"/>
            <w:tcMar>
              <w:top w:w="0" w:type="dxa"/>
              <w:left w:w="0" w:type="dxa"/>
              <w:bottom w:w="0" w:type="dxa"/>
              <w:right w:w="0" w:type="dxa"/>
            </w:tcMar>
            <w:vAlign w:val="center"/>
          </w:tcPr>
          <w:p w14:paraId="17731753" w14:textId="77777777" w:rsidR="00780F9E" w:rsidRPr="00851D8A" w:rsidRDefault="00780F9E">
            <w:pPr>
              <w:spacing w:before="40" w:after="40"/>
              <w:ind w:left="100" w:right="100"/>
              <w:jc w:val="right"/>
            </w:pPr>
            <w:r w:rsidRPr="00851D8A">
              <w:rPr>
                <w:rFonts w:eastAsia="Segoe UI" w:cs="Segoe UI"/>
                <w:color w:val="111111"/>
                <w:sz w:val="20"/>
                <w:szCs w:val="20"/>
              </w:rPr>
              <w:t>25</w:t>
            </w:r>
          </w:p>
        </w:tc>
        <w:tc>
          <w:tcPr>
            <w:tcW w:w="1080" w:type="dxa"/>
            <w:tcBorders>
              <w:right w:val="single" w:sz="8" w:space="0" w:color="D9D9D9"/>
            </w:tcBorders>
            <w:shd w:val="clear" w:color="auto" w:fill="FFFFFF"/>
            <w:tcMar>
              <w:top w:w="0" w:type="dxa"/>
              <w:left w:w="0" w:type="dxa"/>
              <w:bottom w:w="0" w:type="dxa"/>
              <w:right w:w="0" w:type="dxa"/>
            </w:tcMar>
            <w:vAlign w:val="center"/>
          </w:tcPr>
          <w:p w14:paraId="35528141" w14:textId="77777777" w:rsidR="00780F9E" w:rsidRPr="00851D8A" w:rsidRDefault="00780F9E">
            <w:pPr>
              <w:spacing w:before="40" w:after="40"/>
              <w:ind w:left="100" w:right="100"/>
              <w:jc w:val="right"/>
            </w:pPr>
            <w:r w:rsidRPr="00851D8A">
              <w:rPr>
                <w:rFonts w:eastAsia="Segoe UI" w:cs="Segoe UI"/>
                <w:color w:val="111111"/>
                <w:sz w:val="20"/>
                <w:szCs w:val="20"/>
              </w:rPr>
              <w:t>8%</w:t>
            </w:r>
          </w:p>
        </w:tc>
      </w:tr>
      <w:tr w:rsidR="00780F9E" w:rsidRPr="00851D8A" w14:paraId="1B04D824"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148C8C1" w14:textId="77777777" w:rsidR="00780F9E" w:rsidRPr="00851D8A" w:rsidRDefault="00780F9E">
            <w:pPr>
              <w:spacing w:before="40" w:after="40"/>
              <w:ind w:left="100" w:right="100"/>
            </w:pPr>
            <w:r w:rsidRPr="00851D8A">
              <w:rPr>
                <w:rFonts w:eastAsia="Segoe UI" w:cs="Segoe UI"/>
                <w:i/>
                <w:color w:val="111111"/>
                <w:sz w:val="20"/>
                <w:szCs w:val="20"/>
              </w:rPr>
              <w:t>Other notified</w:t>
            </w:r>
          </w:p>
        </w:tc>
        <w:tc>
          <w:tcPr>
            <w:tcW w:w="1080" w:type="dxa"/>
            <w:shd w:val="clear" w:color="auto" w:fill="FFFFFF"/>
            <w:tcMar>
              <w:top w:w="0" w:type="dxa"/>
              <w:left w:w="0" w:type="dxa"/>
              <w:bottom w:w="0" w:type="dxa"/>
              <w:right w:w="0" w:type="dxa"/>
            </w:tcMar>
            <w:vAlign w:val="center"/>
          </w:tcPr>
          <w:p w14:paraId="704A7046" w14:textId="77777777" w:rsidR="00780F9E" w:rsidRPr="00851D8A" w:rsidRDefault="00780F9E">
            <w:pPr>
              <w:spacing w:before="40" w:after="40"/>
              <w:ind w:left="100" w:right="100"/>
              <w:jc w:val="right"/>
            </w:pPr>
            <w:r w:rsidRPr="00851D8A">
              <w:rPr>
                <w:rFonts w:eastAsia="Segoe UI" w:cs="Segoe UI"/>
                <w:color w:val="111111"/>
                <w:sz w:val="20"/>
                <w:szCs w:val="20"/>
              </w:rPr>
              <w:t>21</w:t>
            </w:r>
          </w:p>
        </w:tc>
        <w:tc>
          <w:tcPr>
            <w:tcW w:w="1080" w:type="dxa"/>
            <w:tcBorders>
              <w:right w:val="single" w:sz="8" w:space="0" w:color="D9D9D9"/>
            </w:tcBorders>
            <w:shd w:val="clear" w:color="auto" w:fill="FFFFFF"/>
            <w:tcMar>
              <w:top w:w="0" w:type="dxa"/>
              <w:left w:w="0" w:type="dxa"/>
              <w:bottom w:w="0" w:type="dxa"/>
              <w:right w:w="0" w:type="dxa"/>
            </w:tcMar>
            <w:vAlign w:val="center"/>
          </w:tcPr>
          <w:p w14:paraId="72C2174D" w14:textId="77777777" w:rsidR="00780F9E" w:rsidRPr="00851D8A" w:rsidRDefault="00780F9E">
            <w:pPr>
              <w:spacing w:before="40" w:after="40"/>
              <w:ind w:left="100" w:right="100"/>
              <w:jc w:val="right"/>
            </w:pPr>
            <w:r w:rsidRPr="00851D8A">
              <w:rPr>
                <w:rFonts w:eastAsia="Segoe UI" w:cs="Segoe UI"/>
                <w:color w:val="111111"/>
                <w:sz w:val="20"/>
                <w:szCs w:val="20"/>
              </w:rPr>
              <w:t>7%</w:t>
            </w:r>
          </w:p>
        </w:tc>
      </w:tr>
      <w:tr w:rsidR="00780F9E" w:rsidRPr="00851D8A" w14:paraId="1DA27170" w14:textId="77777777" w:rsidTr="00CE3189">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23E49799"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Verified corrective action</w:t>
            </w:r>
          </w:p>
        </w:tc>
        <w:tc>
          <w:tcPr>
            <w:tcW w:w="1080" w:type="dxa"/>
            <w:shd w:val="clear" w:color="auto" w:fill="FFFFFF"/>
            <w:tcMar>
              <w:top w:w="0" w:type="dxa"/>
              <w:left w:w="0" w:type="dxa"/>
              <w:bottom w:w="0" w:type="dxa"/>
              <w:right w:w="0" w:type="dxa"/>
            </w:tcMar>
            <w:vAlign w:val="center"/>
          </w:tcPr>
          <w:p w14:paraId="13989D1B"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21</w:t>
            </w:r>
          </w:p>
        </w:tc>
        <w:tc>
          <w:tcPr>
            <w:tcW w:w="1080" w:type="dxa"/>
            <w:tcBorders>
              <w:right w:val="single" w:sz="8" w:space="0" w:color="D9D9D9"/>
            </w:tcBorders>
            <w:shd w:val="clear" w:color="auto" w:fill="FFFFFF"/>
            <w:tcMar>
              <w:top w:w="0" w:type="dxa"/>
              <w:left w:w="0" w:type="dxa"/>
              <w:bottom w:w="0" w:type="dxa"/>
              <w:right w:w="0" w:type="dxa"/>
            </w:tcMar>
            <w:vAlign w:val="center"/>
          </w:tcPr>
          <w:p w14:paraId="60CFC416"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7%</w:t>
            </w:r>
          </w:p>
        </w:tc>
      </w:tr>
      <w:tr w:rsidR="00780F9E" w:rsidRPr="00851D8A" w14:paraId="690D59D3"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7BE6894F" w14:textId="77777777" w:rsidR="00780F9E" w:rsidRPr="00851D8A" w:rsidRDefault="00780F9E">
            <w:pPr>
              <w:spacing w:before="40" w:after="40"/>
              <w:ind w:left="100" w:right="100"/>
            </w:pPr>
            <w:r w:rsidRPr="00851D8A">
              <w:rPr>
                <w:rFonts w:eastAsia="Segoe UI" w:cs="Segoe UI"/>
                <w:i/>
                <w:color w:val="111111"/>
                <w:sz w:val="20"/>
                <w:szCs w:val="20"/>
              </w:rPr>
              <w:t>Agreed with Provider's Corrective Action</w:t>
            </w:r>
          </w:p>
        </w:tc>
        <w:tc>
          <w:tcPr>
            <w:tcW w:w="1080" w:type="dxa"/>
            <w:shd w:val="clear" w:color="auto" w:fill="FFFFFF"/>
            <w:tcMar>
              <w:top w:w="0" w:type="dxa"/>
              <w:left w:w="0" w:type="dxa"/>
              <w:bottom w:w="0" w:type="dxa"/>
              <w:right w:w="0" w:type="dxa"/>
            </w:tcMar>
            <w:vAlign w:val="center"/>
          </w:tcPr>
          <w:p w14:paraId="562EA1AC" w14:textId="77777777" w:rsidR="00780F9E" w:rsidRPr="00851D8A" w:rsidRDefault="00780F9E">
            <w:pPr>
              <w:spacing w:before="40" w:after="40"/>
              <w:ind w:left="100" w:right="100"/>
              <w:jc w:val="right"/>
            </w:pPr>
            <w:r w:rsidRPr="00851D8A">
              <w:rPr>
                <w:rFonts w:eastAsia="Segoe UI" w:cs="Segoe UI"/>
                <w:color w:val="111111"/>
                <w:sz w:val="20"/>
                <w:szCs w:val="20"/>
              </w:rPr>
              <w:t>17</w:t>
            </w:r>
          </w:p>
        </w:tc>
        <w:tc>
          <w:tcPr>
            <w:tcW w:w="1080" w:type="dxa"/>
            <w:tcBorders>
              <w:right w:val="single" w:sz="8" w:space="0" w:color="D9D9D9"/>
            </w:tcBorders>
            <w:shd w:val="clear" w:color="auto" w:fill="FFFFFF"/>
            <w:tcMar>
              <w:top w:w="0" w:type="dxa"/>
              <w:left w:w="0" w:type="dxa"/>
              <w:bottom w:w="0" w:type="dxa"/>
              <w:right w:w="0" w:type="dxa"/>
            </w:tcMar>
            <w:vAlign w:val="center"/>
          </w:tcPr>
          <w:p w14:paraId="55FD14A1" w14:textId="77777777" w:rsidR="00780F9E" w:rsidRPr="00851D8A" w:rsidRDefault="00780F9E">
            <w:pPr>
              <w:spacing w:before="40" w:after="40"/>
              <w:ind w:left="100" w:right="100"/>
              <w:jc w:val="right"/>
            </w:pPr>
            <w:r w:rsidRPr="00851D8A">
              <w:rPr>
                <w:rFonts w:eastAsia="Segoe UI" w:cs="Segoe UI"/>
                <w:color w:val="111111"/>
                <w:sz w:val="20"/>
                <w:szCs w:val="20"/>
              </w:rPr>
              <w:t>6%</w:t>
            </w:r>
          </w:p>
        </w:tc>
      </w:tr>
      <w:tr w:rsidR="00780F9E" w:rsidRPr="00851D8A" w14:paraId="0D4CBDB3" w14:textId="77777777" w:rsidTr="00CE3189">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403BDEBA"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Met with individual/AR/LG</w:t>
            </w:r>
          </w:p>
        </w:tc>
        <w:tc>
          <w:tcPr>
            <w:tcW w:w="1080" w:type="dxa"/>
            <w:shd w:val="clear" w:color="auto" w:fill="FFFFFF"/>
            <w:tcMar>
              <w:top w:w="0" w:type="dxa"/>
              <w:left w:w="0" w:type="dxa"/>
              <w:bottom w:w="0" w:type="dxa"/>
              <w:right w:w="0" w:type="dxa"/>
            </w:tcMar>
            <w:vAlign w:val="center"/>
          </w:tcPr>
          <w:p w14:paraId="53DC4EB3"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3</w:t>
            </w:r>
          </w:p>
        </w:tc>
        <w:tc>
          <w:tcPr>
            <w:tcW w:w="1080" w:type="dxa"/>
            <w:tcBorders>
              <w:right w:val="single" w:sz="8" w:space="0" w:color="D9D9D9"/>
            </w:tcBorders>
            <w:shd w:val="clear" w:color="auto" w:fill="FFFFFF"/>
            <w:tcMar>
              <w:top w:w="0" w:type="dxa"/>
              <w:left w:w="0" w:type="dxa"/>
              <w:bottom w:w="0" w:type="dxa"/>
              <w:right w:w="0" w:type="dxa"/>
            </w:tcMar>
            <w:vAlign w:val="center"/>
          </w:tcPr>
          <w:p w14:paraId="45C40DA8"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0.01%</w:t>
            </w:r>
          </w:p>
        </w:tc>
      </w:tr>
      <w:tr w:rsidR="00780F9E" w:rsidRPr="00851D8A" w14:paraId="70574721"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416436F" w14:textId="77777777" w:rsidR="00780F9E" w:rsidRPr="00851D8A" w:rsidRDefault="00780F9E">
            <w:pPr>
              <w:spacing w:before="40" w:after="40"/>
              <w:ind w:left="100" w:right="100"/>
            </w:pPr>
            <w:r w:rsidRPr="00851D8A">
              <w:rPr>
                <w:rFonts w:eastAsia="Segoe UI" w:cs="Segoe UI"/>
                <w:i/>
                <w:color w:val="111111"/>
                <w:sz w:val="20"/>
                <w:szCs w:val="20"/>
              </w:rPr>
              <w:t>Participated in Investigation</w:t>
            </w:r>
          </w:p>
        </w:tc>
        <w:tc>
          <w:tcPr>
            <w:tcW w:w="1080" w:type="dxa"/>
            <w:shd w:val="clear" w:color="auto" w:fill="FFFFFF"/>
            <w:tcMar>
              <w:top w:w="0" w:type="dxa"/>
              <w:left w:w="0" w:type="dxa"/>
              <w:bottom w:w="0" w:type="dxa"/>
              <w:right w:w="0" w:type="dxa"/>
            </w:tcMar>
            <w:vAlign w:val="center"/>
          </w:tcPr>
          <w:p w14:paraId="7525D722" w14:textId="77777777" w:rsidR="00780F9E" w:rsidRPr="00851D8A" w:rsidRDefault="00780F9E">
            <w:pPr>
              <w:spacing w:before="40" w:after="40"/>
              <w:ind w:left="100" w:right="100"/>
              <w:jc w:val="right"/>
            </w:pPr>
            <w:r w:rsidRPr="00851D8A">
              <w:rPr>
                <w:rFonts w:eastAsia="Segoe UI" w:cs="Segoe UI"/>
                <w:color w:val="111111"/>
                <w:sz w:val="20"/>
                <w:szCs w:val="20"/>
              </w:rPr>
              <w:t>2</w:t>
            </w:r>
          </w:p>
        </w:tc>
        <w:tc>
          <w:tcPr>
            <w:tcW w:w="1080" w:type="dxa"/>
            <w:tcBorders>
              <w:right w:val="single" w:sz="8" w:space="0" w:color="D9D9D9"/>
            </w:tcBorders>
            <w:shd w:val="clear" w:color="auto" w:fill="FFFFFF"/>
            <w:tcMar>
              <w:top w:w="0" w:type="dxa"/>
              <w:left w:w="0" w:type="dxa"/>
              <w:bottom w:w="0" w:type="dxa"/>
              <w:right w:w="0" w:type="dxa"/>
            </w:tcMar>
            <w:vAlign w:val="center"/>
          </w:tcPr>
          <w:p w14:paraId="47BB1D13" w14:textId="77777777" w:rsidR="00780F9E" w:rsidRPr="00851D8A" w:rsidRDefault="00780F9E" w:rsidP="007D2B28">
            <w:pPr>
              <w:spacing w:before="40" w:after="40"/>
              <w:ind w:left="100" w:right="100"/>
              <w:jc w:val="right"/>
            </w:pPr>
            <w:r w:rsidRPr="00851D8A">
              <w:rPr>
                <w:rFonts w:eastAsia="Segoe UI" w:cs="Segoe UI"/>
                <w:color w:val="111111"/>
                <w:sz w:val="20"/>
                <w:szCs w:val="20"/>
              </w:rPr>
              <w:t>&lt;1%</w:t>
            </w:r>
          </w:p>
        </w:tc>
      </w:tr>
      <w:tr w:rsidR="00780F9E" w:rsidRPr="00851D8A" w14:paraId="63623AAF"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F50A609" w14:textId="77777777" w:rsidR="00780F9E" w:rsidRPr="00851D8A" w:rsidRDefault="00780F9E">
            <w:pPr>
              <w:spacing w:before="40" w:after="40"/>
              <w:ind w:left="100" w:right="100"/>
            </w:pPr>
            <w:r w:rsidRPr="00851D8A">
              <w:rPr>
                <w:rFonts w:eastAsia="Segoe UI" w:cs="Segoe UI"/>
                <w:i/>
                <w:color w:val="111111"/>
                <w:sz w:val="20"/>
                <w:szCs w:val="20"/>
              </w:rPr>
              <w:t>Phone call with individual/family member</w:t>
            </w:r>
          </w:p>
        </w:tc>
        <w:tc>
          <w:tcPr>
            <w:tcW w:w="1080" w:type="dxa"/>
            <w:shd w:val="clear" w:color="auto" w:fill="FFFFFF"/>
            <w:tcMar>
              <w:top w:w="0" w:type="dxa"/>
              <w:left w:w="0" w:type="dxa"/>
              <w:bottom w:w="0" w:type="dxa"/>
              <w:right w:w="0" w:type="dxa"/>
            </w:tcMar>
            <w:vAlign w:val="center"/>
          </w:tcPr>
          <w:p w14:paraId="33FE9A96" w14:textId="77777777" w:rsidR="00780F9E" w:rsidRPr="00851D8A" w:rsidRDefault="00780F9E">
            <w:pPr>
              <w:spacing w:before="40" w:after="40"/>
              <w:ind w:left="100" w:right="100"/>
              <w:jc w:val="right"/>
            </w:pPr>
            <w:r w:rsidRPr="00851D8A">
              <w:rPr>
                <w:rFonts w:eastAsia="Segoe UI" w:cs="Segoe UI"/>
                <w:color w:val="111111"/>
                <w:sz w:val="20"/>
                <w:szCs w:val="20"/>
              </w:rPr>
              <w:t>2</w:t>
            </w:r>
          </w:p>
        </w:tc>
        <w:tc>
          <w:tcPr>
            <w:tcW w:w="1080" w:type="dxa"/>
            <w:tcBorders>
              <w:right w:val="single" w:sz="8" w:space="0" w:color="D9D9D9"/>
            </w:tcBorders>
            <w:shd w:val="clear" w:color="auto" w:fill="FFFFFF"/>
            <w:tcMar>
              <w:top w:w="0" w:type="dxa"/>
              <w:left w:w="0" w:type="dxa"/>
              <w:bottom w:w="0" w:type="dxa"/>
              <w:right w:w="0" w:type="dxa"/>
            </w:tcMar>
            <w:vAlign w:val="center"/>
          </w:tcPr>
          <w:p w14:paraId="497D34DF" w14:textId="77777777" w:rsidR="00780F9E" w:rsidRPr="00851D8A" w:rsidRDefault="00780F9E">
            <w:pPr>
              <w:spacing w:before="40" w:after="40"/>
              <w:ind w:left="100" w:right="100"/>
              <w:jc w:val="right"/>
            </w:pPr>
            <w:r w:rsidRPr="00851D8A">
              <w:rPr>
                <w:rFonts w:eastAsia="Segoe UI" w:cs="Segoe UI"/>
                <w:color w:val="111111"/>
                <w:sz w:val="20"/>
                <w:szCs w:val="20"/>
              </w:rPr>
              <w:t>&lt;1%</w:t>
            </w:r>
          </w:p>
        </w:tc>
      </w:tr>
      <w:tr w:rsidR="00780F9E" w:rsidRPr="00851D8A" w14:paraId="63AF987E"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4A722616" w14:textId="77777777" w:rsidR="00780F9E" w:rsidRPr="00851D8A" w:rsidRDefault="00780F9E">
            <w:pPr>
              <w:spacing w:before="40" w:after="40"/>
              <w:ind w:left="100" w:right="100"/>
            </w:pPr>
            <w:r w:rsidRPr="00851D8A">
              <w:rPr>
                <w:rFonts w:eastAsia="Segoe UI" w:cs="Segoe UI"/>
                <w:i/>
                <w:color w:val="111111"/>
                <w:sz w:val="20"/>
                <w:szCs w:val="20"/>
              </w:rPr>
              <w:t>Recommendations for Corrective Action</w:t>
            </w:r>
          </w:p>
        </w:tc>
        <w:tc>
          <w:tcPr>
            <w:tcW w:w="1080" w:type="dxa"/>
            <w:shd w:val="clear" w:color="auto" w:fill="FFFFFF"/>
            <w:tcMar>
              <w:top w:w="0" w:type="dxa"/>
              <w:left w:w="0" w:type="dxa"/>
              <w:bottom w:w="0" w:type="dxa"/>
              <w:right w:w="0" w:type="dxa"/>
            </w:tcMar>
            <w:vAlign w:val="center"/>
          </w:tcPr>
          <w:p w14:paraId="182C0405" w14:textId="77777777" w:rsidR="00780F9E" w:rsidRPr="00851D8A" w:rsidRDefault="00780F9E">
            <w:pPr>
              <w:spacing w:before="40" w:after="40"/>
              <w:ind w:left="100" w:right="100"/>
              <w:jc w:val="right"/>
            </w:pPr>
            <w:r w:rsidRPr="00851D8A">
              <w:rPr>
                <w:rFonts w:eastAsia="Segoe UI" w:cs="Segoe UI"/>
                <w:color w:val="111111"/>
                <w:sz w:val="20"/>
                <w:szCs w:val="20"/>
              </w:rPr>
              <w:t>2</w:t>
            </w:r>
          </w:p>
        </w:tc>
        <w:tc>
          <w:tcPr>
            <w:tcW w:w="1080" w:type="dxa"/>
            <w:tcBorders>
              <w:right w:val="single" w:sz="8" w:space="0" w:color="D9D9D9"/>
            </w:tcBorders>
            <w:shd w:val="clear" w:color="auto" w:fill="FFFFFF"/>
            <w:tcMar>
              <w:top w:w="0" w:type="dxa"/>
              <w:left w:w="0" w:type="dxa"/>
              <w:bottom w:w="0" w:type="dxa"/>
              <w:right w:w="0" w:type="dxa"/>
            </w:tcMar>
            <w:vAlign w:val="center"/>
          </w:tcPr>
          <w:p w14:paraId="6BA2E81D" w14:textId="77777777" w:rsidR="00780F9E" w:rsidRPr="00851D8A" w:rsidRDefault="00780F9E">
            <w:pPr>
              <w:spacing w:before="40" w:after="40"/>
              <w:ind w:left="100" w:right="100"/>
              <w:jc w:val="right"/>
            </w:pPr>
            <w:r w:rsidRPr="00851D8A">
              <w:rPr>
                <w:rFonts w:eastAsia="Segoe UI" w:cs="Segoe UI"/>
                <w:color w:val="111111"/>
                <w:sz w:val="20"/>
                <w:szCs w:val="20"/>
              </w:rPr>
              <w:t>&lt;1%</w:t>
            </w:r>
          </w:p>
        </w:tc>
      </w:tr>
      <w:tr w:rsidR="00780F9E" w:rsidRPr="00851D8A" w14:paraId="04B2599E" w14:textId="77777777" w:rsidTr="00CE3189">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627A12A2"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Communication with individual/AR/LG</w:t>
            </w:r>
          </w:p>
        </w:tc>
        <w:tc>
          <w:tcPr>
            <w:tcW w:w="1080" w:type="dxa"/>
            <w:shd w:val="clear" w:color="auto" w:fill="FFFFFF"/>
            <w:tcMar>
              <w:top w:w="0" w:type="dxa"/>
              <w:left w:w="0" w:type="dxa"/>
              <w:bottom w:w="0" w:type="dxa"/>
              <w:right w:w="0" w:type="dxa"/>
            </w:tcMar>
            <w:vAlign w:val="center"/>
          </w:tcPr>
          <w:p w14:paraId="0029AA2C"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2</w:t>
            </w:r>
          </w:p>
        </w:tc>
        <w:tc>
          <w:tcPr>
            <w:tcW w:w="1080" w:type="dxa"/>
            <w:tcBorders>
              <w:right w:val="single" w:sz="8" w:space="0" w:color="D9D9D9"/>
            </w:tcBorders>
            <w:shd w:val="clear" w:color="auto" w:fill="FFFFFF"/>
            <w:tcMar>
              <w:top w:w="0" w:type="dxa"/>
              <w:left w:w="0" w:type="dxa"/>
              <w:bottom w:w="0" w:type="dxa"/>
              <w:right w:w="0" w:type="dxa"/>
            </w:tcMar>
            <w:vAlign w:val="center"/>
          </w:tcPr>
          <w:p w14:paraId="5971FAE0"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0.006%</w:t>
            </w:r>
          </w:p>
        </w:tc>
      </w:tr>
      <w:tr w:rsidR="00780F9E" w:rsidRPr="00851D8A" w14:paraId="60346961"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4924B606" w14:textId="77777777" w:rsidR="00780F9E" w:rsidRPr="00851D8A" w:rsidRDefault="00780F9E">
            <w:pPr>
              <w:spacing w:before="40" w:after="40"/>
              <w:ind w:left="100" w:right="100"/>
            </w:pPr>
            <w:r w:rsidRPr="00851D8A">
              <w:rPr>
                <w:rFonts w:eastAsia="Segoe UI" w:cs="Segoe UI"/>
                <w:i/>
                <w:color w:val="111111"/>
                <w:sz w:val="20"/>
                <w:szCs w:val="20"/>
              </w:rPr>
              <w:t>Recommendations for resolution</w:t>
            </w:r>
          </w:p>
        </w:tc>
        <w:tc>
          <w:tcPr>
            <w:tcW w:w="1080" w:type="dxa"/>
            <w:shd w:val="clear" w:color="auto" w:fill="FFFFFF"/>
            <w:tcMar>
              <w:top w:w="0" w:type="dxa"/>
              <w:left w:w="0" w:type="dxa"/>
              <w:bottom w:w="0" w:type="dxa"/>
              <w:right w:w="0" w:type="dxa"/>
            </w:tcMar>
            <w:vAlign w:val="center"/>
          </w:tcPr>
          <w:p w14:paraId="2067E3CA" w14:textId="77777777" w:rsidR="00780F9E" w:rsidRPr="00851D8A" w:rsidRDefault="00780F9E">
            <w:pPr>
              <w:spacing w:before="40" w:after="40"/>
              <w:ind w:left="100" w:right="100"/>
              <w:jc w:val="right"/>
            </w:pPr>
            <w:r w:rsidRPr="00851D8A">
              <w:rPr>
                <w:rFonts w:eastAsia="Segoe UI" w:cs="Segoe UI"/>
                <w:color w:val="111111"/>
                <w:sz w:val="20"/>
                <w:szCs w:val="20"/>
              </w:rPr>
              <w:t>1</w:t>
            </w:r>
          </w:p>
        </w:tc>
        <w:tc>
          <w:tcPr>
            <w:tcW w:w="1080" w:type="dxa"/>
            <w:tcBorders>
              <w:right w:val="single" w:sz="8" w:space="0" w:color="D9D9D9"/>
            </w:tcBorders>
            <w:shd w:val="clear" w:color="auto" w:fill="FFFFFF"/>
            <w:tcMar>
              <w:top w:w="0" w:type="dxa"/>
              <w:left w:w="0" w:type="dxa"/>
              <w:bottom w:w="0" w:type="dxa"/>
              <w:right w:w="0" w:type="dxa"/>
            </w:tcMar>
            <w:vAlign w:val="center"/>
          </w:tcPr>
          <w:p w14:paraId="4C9A8D88" w14:textId="77777777" w:rsidR="00780F9E" w:rsidRPr="00851D8A" w:rsidRDefault="00780F9E">
            <w:pPr>
              <w:spacing w:before="40" w:after="40"/>
              <w:ind w:left="100" w:right="100"/>
              <w:jc w:val="right"/>
            </w:pPr>
            <w:r w:rsidRPr="00851D8A">
              <w:rPr>
                <w:rFonts w:eastAsia="Segoe UI" w:cs="Segoe UI"/>
                <w:color w:val="111111"/>
                <w:sz w:val="20"/>
                <w:szCs w:val="20"/>
              </w:rPr>
              <w:t>&lt;1%</w:t>
            </w:r>
          </w:p>
        </w:tc>
      </w:tr>
      <w:tr w:rsidR="00780F9E" w:rsidRPr="00851D8A" w14:paraId="143292A1"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55BB994F" w14:textId="77777777" w:rsidR="00780F9E" w:rsidRPr="00851D8A" w:rsidRDefault="00780F9E">
            <w:pPr>
              <w:spacing w:before="40" w:after="40"/>
              <w:ind w:left="100" w:right="100"/>
            </w:pPr>
            <w:r w:rsidRPr="00851D8A">
              <w:rPr>
                <w:rFonts w:eastAsia="Segoe UI" w:cs="Segoe UI"/>
                <w:i/>
                <w:color w:val="111111"/>
                <w:sz w:val="20"/>
                <w:szCs w:val="20"/>
              </w:rPr>
              <w:t>CSB/Licensed program notified</w:t>
            </w:r>
          </w:p>
        </w:tc>
        <w:tc>
          <w:tcPr>
            <w:tcW w:w="1080" w:type="dxa"/>
            <w:shd w:val="clear" w:color="auto" w:fill="FFFFFF"/>
            <w:tcMar>
              <w:top w:w="0" w:type="dxa"/>
              <w:left w:w="0" w:type="dxa"/>
              <w:bottom w:w="0" w:type="dxa"/>
              <w:right w:w="0" w:type="dxa"/>
            </w:tcMar>
            <w:vAlign w:val="center"/>
          </w:tcPr>
          <w:p w14:paraId="18F55B32" w14:textId="77777777" w:rsidR="00780F9E" w:rsidRPr="00851D8A" w:rsidRDefault="00780F9E">
            <w:pPr>
              <w:spacing w:before="40" w:after="40"/>
              <w:ind w:left="100" w:right="100"/>
              <w:jc w:val="right"/>
            </w:pPr>
            <w:r w:rsidRPr="00851D8A">
              <w:rPr>
                <w:rFonts w:eastAsia="Segoe UI" w:cs="Segoe UI"/>
                <w:color w:val="111111"/>
                <w:sz w:val="20"/>
                <w:szCs w:val="20"/>
              </w:rPr>
              <w:t>1</w:t>
            </w:r>
          </w:p>
        </w:tc>
        <w:tc>
          <w:tcPr>
            <w:tcW w:w="1080" w:type="dxa"/>
            <w:tcBorders>
              <w:right w:val="single" w:sz="8" w:space="0" w:color="D9D9D9"/>
            </w:tcBorders>
            <w:shd w:val="clear" w:color="auto" w:fill="FFFFFF"/>
            <w:tcMar>
              <w:top w:w="0" w:type="dxa"/>
              <w:left w:w="0" w:type="dxa"/>
              <w:bottom w:w="0" w:type="dxa"/>
              <w:right w:w="0" w:type="dxa"/>
            </w:tcMar>
            <w:vAlign w:val="center"/>
          </w:tcPr>
          <w:p w14:paraId="17B84B6F" w14:textId="77777777" w:rsidR="00780F9E" w:rsidRPr="00851D8A" w:rsidRDefault="00780F9E">
            <w:pPr>
              <w:spacing w:before="40" w:after="40"/>
              <w:ind w:left="100" w:right="100"/>
              <w:jc w:val="right"/>
            </w:pPr>
            <w:r w:rsidRPr="00851D8A">
              <w:rPr>
                <w:rFonts w:eastAsia="Segoe UI" w:cs="Segoe UI"/>
                <w:color w:val="111111"/>
                <w:sz w:val="20"/>
                <w:szCs w:val="20"/>
              </w:rPr>
              <w:t>&lt;1%</w:t>
            </w:r>
          </w:p>
        </w:tc>
      </w:tr>
      <w:tr w:rsidR="00780F9E" w:rsidRPr="00851D8A" w14:paraId="6F65DF5C" w14:textId="77777777" w:rsidTr="007D2B28">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732FF1E4" w14:textId="77777777" w:rsidR="00780F9E" w:rsidRPr="00851D8A" w:rsidRDefault="00780F9E">
            <w:pPr>
              <w:spacing w:before="40" w:after="40"/>
              <w:ind w:left="100" w:right="100"/>
              <w:rPr>
                <w:rFonts w:eastAsia="Segoe UI" w:cs="Segoe UI"/>
                <w:i/>
                <w:color w:val="111111"/>
                <w:sz w:val="20"/>
                <w:szCs w:val="20"/>
              </w:rPr>
            </w:pPr>
            <w:r w:rsidRPr="00851D8A">
              <w:rPr>
                <w:rFonts w:eastAsia="Segoe UI" w:cs="Segoe UI"/>
                <w:i/>
                <w:color w:val="111111"/>
                <w:sz w:val="20"/>
                <w:szCs w:val="20"/>
              </w:rPr>
              <w:t>Community Violation Letter</w:t>
            </w:r>
          </w:p>
        </w:tc>
        <w:tc>
          <w:tcPr>
            <w:tcW w:w="1080" w:type="dxa"/>
            <w:shd w:val="clear" w:color="auto" w:fill="FFFFFF"/>
            <w:tcMar>
              <w:top w:w="0" w:type="dxa"/>
              <w:left w:w="0" w:type="dxa"/>
              <w:bottom w:w="0" w:type="dxa"/>
              <w:right w:w="0" w:type="dxa"/>
            </w:tcMar>
            <w:vAlign w:val="center"/>
          </w:tcPr>
          <w:p w14:paraId="115FBC01"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1</w:t>
            </w:r>
          </w:p>
        </w:tc>
        <w:tc>
          <w:tcPr>
            <w:tcW w:w="1080" w:type="dxa"/>
            <w:tcBorders>
              <w:right w:val="single" w:sz="8" w:space="0" w:color="D9D9D9"/>
            </w:tcBorders>
            <w:shd w:val="clear" w:color="auto" w:fill="FFFFFF"/>
            <w:tcMar>
              <w:top w:w="0" w:type="dxa"/>
              <w:left w:w="0" w:type="dxa"/>
              <w:bottom w:w="0" w:type="dxa"/>
              <w:right w:w="0" w:type="dxa"/>
            </w:tcMar>
            <w:vAlign w:val="center"/>
          </w:tcPr>
          <w:p w14:paraId="20BC35BA" w14:textId="77777777" w:rsidR="00780F9E" w:rsidRPr="00851D8A" w:rsidRDefault="00780F9E">
            <w:pPr>
              <w:spacing w:before="40" w:after="40"/>
              <w:ind w:left="100" w:right="100"/>
              <w:jc w:val="right"/>
              <w:rPr>
                <w:rFonts w:eastAsia="Segoe UI" w:cs="Segoe UI"/>
                <w:color w:val="111111"/>
                <w:sz w:val="20"/>
                <w:szCs w:val="20"/>
              </w:rPr>
            </w:pPr>
            <w:r w:rsidRPr="00851D8A">
              <w:rPr>
                <w:rFonts w:eastAsia="Segoe UI" w:cs="Segoe UI"/>
                <w:color w:val="111111"/>
                <w:sz w:val="20"/>
                <w:szCs w:val="20"/>
              </w:rPr>
              <w:t>&lt;1%</w:t>
            </w:r>
          </w:p>
        </w:tc>
      </w:tr>
      <w:tr w:rsidR="00780F9E" w:rsidRPr="00851D8A" w14:paraId="096CB31B" w14:textId="77777777">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3236AE81" w14:textId="77777777" w:rsidR="00780F9E" w:rsidRPr="00851D8A" w:rsidRDefault="00780F9E">
            <w:pPr>
              <w:spacing w:before="40" w:after="40"/>
              <w:ind w:left="100" w:right="100"/>
            </w:pPr>
            <w:r w:rsidRPr="00851D8A">
              <w:rPr>
                <w:rFonts w:eastAsia="Segoe UI" w:cs="Segoe UI"/>
                <w:i/>
                <w:color w:val="111111"/>
                <w:sz w:val="20"/>
                <w:szCs w:val="20"/>
              </w:rPr>
              <w:t>Notified Client of Investigation Findings</w:t>
            </w:r>
          </w:p>
        </w:tc>
        <w:tc>
          <w:tcPr>
            <w:tcW w:w="1080" w:type="dxa"/>
            <w:shd w:val="clear" w:color="auto" w:fill="FFFFFF"/>
            <w:tcMar>
              <w:top w:w="0" w:type="dxa"/>
              <w:left w:w="0" w:type="dxa"/>
              <w:bottom w:w="0" w:type="dxa"/>
              <w:right w:w="0" w:type="dxa"/>
            </w:tcMar>
            <w:vAlign w:val="center"/>
          </w:tcPr>
          <w:p w14:paraId="76D15BDC" w14:textId="77777777" w:rsidR="00780F9E" w:rsidRPr="00851D8A" w:rsidRDefault="00780F9E">
            <w:pPr>
              <w:spacing w:before="40" w:after="40"/>
              <w:ind w:left="100" w:right="100"/>
              <w:jc w:val="right"/>
            </w:pPr>
            <w:r w:rsidRPr="00851D8A">
              <w:rPr>
                <w:rFonts w:eastAsia="Segoe UI" w:cs="Segoe UI"/>
                <w:color w:val="111111"/>
                <w:sz w:val="20"/>
                <w:szCs w:val="20"/>
              </w:rPr>
              <w:t>0</w:t>
            </w:r>
          </w:p>
        </w:tc>
        <w:tc>
          <w:tcPr>
            <w:tcW w:w="1080" w:type="dxa"/>
            <w:tcBorders>
              <w:right w:val="single" w:sz="8" w:space="0" w:color="D9D9D9"/>
            </w:tcBorders>
            <w:shd w:val="clear" w:color="auto" w:fill="FFFFFF"/>
            <w:tcMar>
              <w:top w:w="0" w:type="dxa"/>
              <w:left w:w="0" w:type="dxa"/>
              <w:bottom w:w="0" w:type="dxa"/>
              <w:right w:w="0" w:type="dxa"/>
            </w:tcMar>
            <w:vAlign w:val="center"/>
          </w:tcPr>
          <w:p w14:paraId="58BDEE52" w14:textId="77777777" w:rsidR="00780F9E" w:rsidRPr="00851D8A" w:rsidRDefault="00780F9E">
            <w:pPr>
              <w:spacing w:before="40" w:after="40"/>
              <w:ind w:left="100" w:right="100"/>
              <w:jc w:val="right"/>
            </w:pPr>
            <w:r w:rsidRPr="00851D8A">
              <w:rPr>
                <w:rFonts w:eastAsia="Segoe UI" w:cs="Segoe UI"/>
                <w:color w:val="111111"/>
                <w:sz w:val="20"/>
                <w:szCs w:val="20"/>
              </w:rPr>
              <w:t>0%</w:t>
            </w:r>
          </w:p>
        </w:tc>
      </w:tr>
      <w:tr w:rsidR="00780F9E" w:rsidRPr="00851D8A" w14:paraId="6E0B8B98" w14:textId="77777777" w:rsidTr="00780F9E">
        <w:trPr>
          <w:cantSplit/>
          <w:trHeight w:hRule="exact" w:val="360"/>
          <w:jc w:val="center"/>
        </w:trPr>
        <w:tc>
          <w:tcPr>
            <w:tcW w:w="4896" w:type="dxa"/>
            <w:tcBorders>
              <w:left w:val="single" w:sz="8" w:space="0" w:color="D9D9D9"/>
            </w:tcBorders>
            <w:shd w:val="clear" w:color="auto" w:fill="FFFFFF"/>
            <w:tcMar>
              <w:top w:w="0" w:type="dxa"/>
              <w:left w:w="0" w:type="dxa"/>
              <w:bottom w:w="0" w:type="dxa"/>
              <w:right w:w="0" w:type="dxa"/>
            </w:tcMar>
            <w:vAlign w:val="center"/>
          </w:tcPr>
          <w:p w14:paraId="2A1FDB31" w14:textId="77777777" w:rsidR="00780F9E" w:rsidRPr="00851D8A" w:rsidRDefault="00780F9E">
            <w:pPr>
              <w:spacing w:before="40" w:after="40"/>
              <w:ind w:left="100" w:right="100"/>
            </w:pPr>
            <w:r w:rsidRPr="00851D8A">
              <w:rPr>
                <w:rFonts w:eastAsia="Segoe UI" w:cs="Segoe UI"/>
                <w:i/>
                <w:color w:val="111111"/>
                <w:sz w:val="20"/>
                <w:szCs w:val="20"/>
              </w:rPr>
              <w:t>Conducted Independent Investigation</w:t>
            </w:r>
          </w:p>
        </w:tc>
        <w:tc>
          <w:tcPr>
            <w:tcW w:w="1080" w:type="dxa"/>
            <w:shd w:val="clear" w:color="auto" w:fill="FFFFFF"/>
            <w:tcMar>
              <w:top w:w="0" w:type="dxa"/>
              <w:left w:w="0" w:type="dxa"/>
              <w:bottom w:w="0" w:type="dxa"/>
              <w:right w:w="0" w:type="dxa"/>
            </w:tcMar>
            <w:vAlign w:val="center"/>
          </w:tcPr>
          <w:p w14:paraId="2328AC1D" w14:textId="77777777" w:rsidR="00780F9E" w:rsidRPr="00851D8A" w:rsidRDefault="00780F9E">
            <w:pPr>
              <w:spacing w:before="40" w:after="40"/>
              <w:ind w:left="100" w:right="100"/>
              <w:jc w:val="right"/>
            </w:pPr>
            <w:r w:rsidRPr="00851D8A">
              <w:rPr>
                <w:rFonts w:eastAsia="Segoe UI" w:cs="Segoe UI"/>
                <w:color w:val="111111"/>
                <w:sz w:val="20"/>
                <w:szCs w:val="20"/>
              </w:rPr>
              <w:t>0</w:t>
            </w:r>
          </w:p>
        </w:tc>
        <w:tc>
          <w:tcPr>
            <w:tcW w:w="1080" w:type="dxa"/>
            <w:tcBorders>
              <w:right w:val="single" w:sz="8" w:space="0" w:color="D9D9D9"/>
            </w:tcBorders>
            <w:shd w:val="clear" w:color="auto" w:fill="FFFFFF"/>
            <w:tcMar>
              <w:top w:w="0" w:type="dxa"/>
              <w:left w:w="0" w:type="dxa"/>
              <w:bottom w:w="0" w:type="dxa"/>
              <w:right w:w="0" w:type="dxa"/>
            </w:tcMar>
            <w:vAlign w:val="center"/>
          </w:tcPr>
          <w:p w14:paraId="6A5F88AF" w14:textId="77777777" w:rsidR="00780F9E" w:rsidRPr="00851D8A" w:rsidRDefault="00780F9E">
            <w:pPr>
              <w:spacing w:before="40" w:after="40"/>
              <w:ind w:left="100" w:right="100"/>
              <w:jc w:val="right"/>
            </w:pPr>
            <w:r w:rsidRPr="00851D8A">
              <w:rPr>
                <w:rFonts w:eastAsia="Segoe UI" w:cs="Segoe UI"/>
                <w:color w:val="111111"/>
                <w:sz w:val="20"/>
                <w:szCs w:val="20"/>
              </w:rPr>
              <w:t>0%</w:t>
            </w:r>
          </w:p>
        </w:tc>
      </w:tr>
      <w:tr w:rsidR="00780F9E" w:rsidRPr="00851D8A" w14:paraId="1CDE41B9" w14:textId="77777777" w:rsidTr="00780F9E">
        <w:trPr>
          <w:cantSplit/>
          <w:trHeight w:hRule="exact" w:val="360"/>
          <w:jc w:val="center"/>
        </w:trPr>
        <w:tc>
          <w:tcPr>
            <w:tcW w:w="4896" w:type="dxa"/>
            <w:tcBorders>
              <w:left w:val="single" w:sz="8" w:space="0" w:color="D9D9D9"/>
              <w:bottom w:val="single" w:sz="8" w:space="0" w:color="D9D9D9"/>
            </w:tcBorders>
            <w:shd w:val="clear" w:color="auto" w:fill="FFFFFF"/>
            <w:tcMar>
              <w:top w:w="0" w:type="dxa"/>
              <w:left w:w="0" w:type="dxa"/>
              <w:bottom w:w="0" w:type="dxa"/>
              <w:right w:w="0" w:type="dxa"/>
            </w:tcMar>
            <w:vAlign w:val="center"/>
          </w:tcPr>
          <w:p w14:paraId="4BF7473F" w14:textId="77777777" w:rsidR="00780F9E" w:rsidRPr="00851D8A" w:rsidRDefault="00780F9E">
            <w:pPr>
              <w:spacing w:before="40" w:after="40"/>
              <w:ind w:left="100" w:right="100"/>
            </w:pPr>
            <w:r w:rsidRPr="00851D8A">
              <w:rPr>
                <w:rFonts w:eastAsia="Segoe UI" w:cs="Segoe UI"/>
                <w:i/>
                <w:color w:val="111111"/>
                <w:sz w:val="20"/>
                <w:szCs w:val="20"/>
              </w:rPr>
              <w:t>Met with individual</w:t>
            </w:r>
          </w:p>
        </w:tc>
        <w:tc>
          <w:tcPr>
            <w:tcW w:w="1080" w:type="dxa"/>
            <w:tcBorders>
              <w:bottom w:val="single" w:sz="8" w:space="0" w:color="D9D9D9"/>
            </w:tcBorders>
            <w:shd w:val="clear" w:color="auto" w:fill="FFFFFF"/>
            <w:tcMar>
              <w:top w:w="0" w:type="dxa"/>
              <w:left w:w="0" w:type="dxa"/>
              <w:bottom w:w="0" w:type="dxa"/>
              <w:right w:w="0" w:type="dxa"/>
            </w:tcMar>
            <w:vAlign w:val="center"/>
          </w:tcPr>
          <w:p w14:paraId="68750DA2" w14:textId="77777777" w:rsidR="00780F9E" w:rsidRPr="00851D8A" w:rsidRDefault="00780F9E">
            <w:pPr>
              <w:spacing w:before="40" w:after="40"/>
              <w:ind w:left="100" w:right="100"/>
              <w:jc w:val="right"/>
            </w:pPr>
            <w:r w:rsidRPr="00851D8A">
              <w:rPr>
                <w:rFonts w:eastAsia="Segoe UI" w:cs="Segoe UI"/>
                <w:color w:val="111111"/>
                <w:sz w:val="20"/>
                <w:szCs w:val="20"/>
              </w:rPr>
              <w:t>0</w:t>
            </w:r>
          </w:p>
        </w:tc>
        <w:tc>
          <w:tcPr>
            <w:tcW w:w="1080" w:type="dxa"/>
            <w:tcBorders>
              <w:bottom w:val="single" w:sz="8" w:space="0" w:color="D9D9D9"/>
              <w:right w:val="single" w:sz="8" w:space="0" w:color="D9D9D9"/>
            </w:tcBorders>
            <w:shd w:val="clear" w:color="auto" w:fill="FFFFFF"/>
            <w:tcMar>
              <w:top w:w="0" w:type="dxa"/>
              <w:left w:w="0" w:type="dxa"/>
              <w:bottom w:w="0" w:type="dxa"/>
              <w:right w:w="0" w:type="dxa"/>
            </w:tcMar>
            <w:vAlign w:val="center"/>
          </w:tcPr>
          <w:p w14:paraId="6D98E035" w14:textId="77777777" w:rsidR="00780F9E" w:rsidRPr="00851D8A" w:rsidRDefault="00780F9E">
            <w:pPr>
              <w:spacing w:before="40" w:after="40"/>
              <w:ind w:left="100" w:right="100"/>
              <w:jc w:val="right"/>
            </w:pPr>
            <w:r w:rsidRPr="00851D8A">
              <w:rPr>
                <w:rFonts w:eastAsia="Segoe UI" w:cs="Segoe UI"/>
                <w:color w:val="111111"/>
                <w:sz w:val="20"/>
                <w:szCs w:val="20"/>
              </w:rPr>
              <w:t>0%</w:t>
            </w:r>
          </w:p>
        </w:tc>
      </w:tr>
    </w:tbl>
    <w:p w14:paraId="6CDC1E43" w14:textId="77777777" w:rsidR="00FF3B6A" w:rsidRPr="00851D8A" w:rsidRDefault="00FF3B6A">
      <w:pPr>
        <w:pStyle w:val="FirstParagraph"/>
      </w:pPr>
    </w:p>
    <w:p w14:paraId="5381E5AD" w14:textId="77777777" w:rsidR="00FF3B6A" w:rsidRPr="00851D8A" w:rsidRDefault="00F651DB">
      <w:pPr>
        <w:pStyle w:val="Heading2"/>
      </w:pPr>
      <w:bookmarkStart w:id="11" w:name="verification-of-provider-outcomes"/>
      <w:r w:rsidRPr="00851D8A">
        <w:t>Verification of Provider Outcomes</w:t>
      </w:r>
      <w:bookmarkEnd w:id="11"/>
    </w:p>
    <w:p w14:paraId="39550912" w14:textId="0ECF80F7" w:rsidR="00FF3B6A" w:rsidRPr="00CF069A" w:rsidRDefault="00F651DB">
      <w:pPr>
        <w:pStyle w:val="FirstParagraph"/>
        <w:rPr>
          <w:color w:val="auto"/>
        </w:rPr>
      </w:pPr>
      <w:r w:rsidRPr="00851D8A">
        <w:t xml:space="preserve">There were </w:t>
      </w:r>
      <w:r w:rsidR="009E3503" w:rsidRPr="00851D8A">
        <w:rPr>
          <w:color w:val="auto"/>
        </w:rPr>
        <w:t>59</w:t>
      </w:r>
      <w:r w:rsidRPr="00851D8A">
        <w:rPr>
          <w:color w:val="FF0000"/>
        </w:rPr>
        <w:t xml:space="preserve"> </w:t>
      </w:r>
      <w:r w:rsidRPr="00851D8A">
        <w:t>substantiated cases, meaning there was a preponderance of evidence that abuse</w:t>
      </w:r>
      <w:r w:rsidR="00D77012">
        <w:t>, neglect or exploitation</w:t>
      </w:r>
      <w:r w:rsidRPr="00851D8A">
        <w:t xml:space="preserve"> did occur. Among these cases, reviewers </w:t>
      </w:r>
      <w:r w:rsidR="00894BD8" w:rsidRPr="00851D8A">
        <w:t>selected</w:t>
      </w:r>
      <w:r w:rsidRPr="00851D8A">
        <w:t xml:space="preserve"> the DBHDS Advocate Action in </w:t>
      </w:r>
      <w:r w:rsidRPr="00CF069A">
        <w:rPr>
          <w:color w:val="auto"/>
        </w:rPr>
        <w:t xml:space="preserve">CHRIS </w:t>
      </w:r>
      <w:r w:rsidR="00894BD8" w:rsidRPr="00CF069A">
        <w:rPr>
          <w:color w:val="auto"/>
        </w:rPr>
        <w:t xml:space="preserve">that </w:t>
      </w:r>
      <w:r w:rsidRPr="00CF069A">
        <w:rPr>
          <w:color w:val="auto"/>
        </w:rPr>
        <w:t>verifie</w:t>
      </w:r>
      <w:r w:rsidR="00894BD8" w:rsidRPr="00CF069A">
        <w:rPr>
          <w:color w:val="auto"/>
        </w:rPr>
        <w:t>s</w:t>
      </w:r>
      <w:r w:rsidRPr="00CF069A">
        <w:rPr>
          <w:color w:val="auto"/>
        </w:rPr>
        <w:t xml:space="preserve"> the corrective actions taken by the provider in </w:t>
      </w:r>
      <w:r w:rsidR="00894BD8" w:rsidRPr="00CF069A">
        <w:rPr>
          <w:color w:val="auto"/>
        </w:rPr>
        <w:t>18</w:t>
      </w:r>
      <w:r w:rsidRPr="00CF069A">
        <w:rPr>
          <w:color w:val="auto"/>
        </w:rPr>
        <w:t xml:space="preserve"> cases (</w:t>
      </w:r>
      <w:r w:rsidR="00894BD8" w:rsidRPr="00CF069A">
        <w:rPr>
          <w:color w:val="auto"/>
        </w:rPr>
        <w:t>31</w:t>
      </w:r>
      <w:r w:rsidR="00CF069A" w:rsidRPr="00CF069A">
        <w:rPr>
          <w:color w:val="auto"/>
        </w:rPr>
        <w:t>%)</w:t>
      </w:r>
      <w:r w:rsidRPr="00CF069A">
        <w:rPr>
          <w:color w:val="auto"/>
        </w:rPr>
        <w:t xml:space="preserve"> rate over time.</w:t>
      </w:r>
    </w:p>
    <w:p w14:paraId="17039841" w14:textId="4F6D61CB" w:rsidR="004A1B63" w:rsidRDefault="004A1B63" w:rsidP="004A1B63">
      <w:pPr>
        <w:pStyle w:val="Heading1"/>
        <w:rPr>
          <w:color w:val="auto"/>
        </w:rPr>
      </w:pPr>
      <w:r w:rsidRPr="00CF069A">
        <w:rPr>
          <w:color w:val="auto"/>
        </w:rPr>
        <w:t>Concl</w:t>
      </w:r>
      <w:r w:rsidR="00BF1358" w:rsidRPr="00CF069A">
        <w:rPr>
          <w:color w:val="auto"/>
        </w:rPr>
        <w:t>usion</w:t>
      </w:r>
    </w:p>
    <w:p w14:paraId="1CD87290" w14:textId="179180E2" w:rsidR="00CF069A" w:rsidRPr="006B22A0" w:rsidRDefault="00CF069A" w:rsidP="00CF069A">
      <w:pPr>
        <w:pStyle w:val="BodyText"/>
      </w:pPr>
      <w:r w:rsidRPr="006B22A0">
        <w:t xml:space="preserve">As noted in the assessment of Business Processes and Requirements, the data suggests that an involved individual’s participation in investigation is a needed area of improvement and ongoing training point with </w:t>
      </w:r>
      <w:r w:rsidRPr="006B22A0">
        <w:rPr>
          <w:color w:val="auto"/>
        </w:rPr>
        <w:t xml:space="preserve">providers.  </w:t>
      </w:r>
      <w:r w:rsidR="00D77012" w:rsidRPr="006B22A0">
        <w:rPr>
          <w:color w:val="auto"/>
        </w:rPr>
        <w:t xml:space="preserve">OHR is not surprised </w:t>
      </w:r>
      <w:r w:rsidR="00D77012" w:rsidRPr="006B22A0">
        <w:rPr>
          <w:color w:val="auto"/>
        </w:rPr>
        <w:t>that only</w:t>
      </w:r>
      <w:r w:rsidR="00D77012" w:rsidRPr="006B22A0">
        <w:rPr>
          <w:color w:val="auto"/>
        </w:rPr>
        <w:t xml:space="preserve"> </w:t>
      </w:r>
      <w:r w:rsidR="00D77012" w:rsidRPr="006B22A0">
        <w:rPr>
          <w:color w:val="auto"/>
        </w:rPr>
        <w:t xml:space="preserve">46% of the provider investigations reviewed documented involvement by the individual. As a result of this data confirmation, </w:t>
      </w:r>
      <w:r w:rsidRPr="006B22A0">
        <w:rPr>
          <w:color w:val="auto"/>
        </w:rPr>
        <w:t xml:space="preserve">OHR’s training </w:t>
      </w:r>
      <w:r w:rsidR="00D77012" w:rsidRPr="006B22A0">
        <w:rPr>
          <w:color w:val="auto"/>
        </w:rPr>
        <w:t xml:space="preserve">provider training </w:t>
      </w:r>
      <w:r w:rsidR="00D77012" w:rsidRPr="006B22A0">
        <w:t>module titled</w:t>
      </w:r>
      <w:r w:rsidRPr="006B22A0">
        <w:t xml:space="preserve"> “Investigating Abuse and Neglect-An Overview for Community Providers”</w:t>
      </w:r>
      <w:r w:rsidR="001A2FDE" w:rsidRPr="006B22A0">
        <w:t xml:space="preserve">, </w:t>
      </w:r>
      <w:r w:rsidR="00D77012" w:rsidRPr="006B22A0">
        <w:t>now explicitly</w:t>
      </w:r>
      <w:r w:rsidRPr="006B22A0">
        <w:t xml:space="preserve"> addresses this as</w:t>
      </w:r>
      <w:r w:rsidR="00130AB2" w:rsidRPr="006B22A0">
        <w:t xml:space="preserve"> a</w:t>
      </w:r>
      <w:r w:rsidRPr="006B22A0">
        <w:t xml:space="preserve"> necessar</w:t>
      </w:r>
      <w:r w:rsidR="00D77012" w:rsidRPr="006B22A0">
        <w:t>y component of an</w:t>
      </w:r>
      <w:r w:rsidRPr="006B22A0">
        <w:t xml:space="preserve"> investigation and</w:t>
      </w:r>
      <w:r w:rsidR="00D77012" w:rsidRPr="006B22A0">
        <w:t xml:space="preserve"> </w:t>
      </w:r>
      <w:r w:rsidRPr="006B22A0">
        <w:t>should improve future outcomes.</w:t>
      </w:r>
    </w:p>
    <w:p w14:paraId="395CFD56" w14:textId="48244CC5" w:rsidR="00130AB2" w:rsidRPr="006B22A0" w:rsidRDefault="00130AB2" w:rsidP="00CF069A">
      <w:pPr>
        <w:pStyle w:val="BodyText"/>
      </w:pPr>
      <w:r w:rsidRPr="006B22A0">
        <w:t>Since</w:t>
      </w:r>
      <w:r w:rsidR="00CF069A" w:rsidRPr="006B22A0">
        <w:t xml:space="preserve"> the review process was conducted remotely for CY2020</w:t>
      </w:r>
      <w:r w:rsidR="001A2FDE" w:rsidRPr="006B22A0">
        <w:t xml:space="preserve">, </w:t>
      </w:r>
      <w:r w:rsidRPr="006B22A0">
        <w:t>several factors</w:t>
      </w:r>
      <w:r w:rsidR="001A2FDE" w:rsidRPr="006B22A0">
        <w:t xml:space="preserve"> could have contributed to lower compliance </w:t>
      </w:r>
      <w:r w:rsidR="00CE2DE6">
        <w:t>overall</w:t>
      </w:r>
      <w:r w:rsidR="001A2FDE" w:rsidRPr="006B22A0">
        <w:t>.</w:t>
      </w:r>
      <w:r w:rsidR="00CE2DE6">
        <w:t xml:space="preserve"> For example, in CY2019 87% of provider staff conducting investigations were trained to do as compared to 82% in CY2020, and there was a decrease from 66% in CY2019 to 58% compliance in CY2020 regarding evidence of initial AR/guardian notification. </w:t>
      </w:r>
      <w:r w:rsidR="001A2FDE" w:rsidRPr="006B22A0">
        <w:t xml:space="preserve"> In the past, reviewers actually went on-site to conduct a review of documentation relative to assigned cases.  This allowed the reviewers to request certain documents </w:t>
      </w:r>
      <w:r w:rsidR="006B22A0" w:rsidRPr="006B22A0">
        <w:t xml:space="preserve">assumed omitted </w:t>
      </w:r>
      <w:r w:rsidR="00CE2DE6">
        <w:t xml:space="preserve">for review, such as an investigation training certificate </w:t>
      </w:r>
      <w:r w:rsidR="001A2FDE" w:rsidRPr="006B22A0">
        <w:t xml:space="preserve">and allowed the provider the opportunity to gather the information in real time.   </w:t>
      </w:r>
      <w:r w:rsidRPr="006B22A0">
        <w:t>As the reviewers were relying on email as the source of documentation, that back and forth conversation between provider and reviewer did not occur</w:t>
      </w:r>
      <w:r w:rsidR="00603D58" w:rsidRPr="006B22A0">
        <w:t xml:space="preserve"> in real time</w:t>
      </w:r>
      <w:r w:rsidRPr="006B22A0">
        <w:t xml:space="preserve">.  </w:t>
      </w:r>
      <w:r w:rsidR="00603D58" w:rsidRPr="006B22A0">
        <w:t>Additionally, due to the COVID-19 P</w:t>
      </w:r>
      <w:r w:rsidR="006B22A0" w:rsidRPr="006B22A0">
        <w:t>andemic, some licensed provider</w:t>
      </w:r>
      <w:r w:rsidR="00603D58" w:rsidRPr="006B22A0">
        <w:t xml:space="preserve">s were temporarily closed, requiring the provider to rely solely on electronic health records for the requested documentation.  </w:t>
      </w:r>
      <w:r w:rsidRPr="006B22A0">
        <w:t>Moving forward, the impact of the remote process may be lessened by training reviewers to request</w:t>
      </w:r>
      <w:r w:rsidR="00603D58" w:rsidRPr="006B22A0">
        <w:t xml:space="preserve"> information that is more specific</w:t>
      </w:r>
      <w:r w:rsidRPr="006B22A0">
        <w:t xml:space="preserve"> and </w:t>
      </w:r>
      <w:r w:rsidR="006B22A0" w:rsidRPr="006B22A0">
        <w:t xml:space="preserve">to </w:t>
      </w:r>
      <w:r w:rsidRPr="006B22A0">
        <w:t xml:space="preserve">initiate additional conversation with the provider to ensure they are submitting the accurate and complete investigative file for comparison.  </w:t>
      </w:r>
    </w:p>
    <w:p w14:paraId="1D317E18" w14:textId="73289BF1" w:rsidR="00CF069A" w:rsidRPr="00CF069A" w:rsidRDefault="00130AB2" w:rsidP="00CF069A">
      <w:pPr>
        <w:pStyle w:val="BodyText"/>
      </w:pPr>
      <w:r w:rsidRPr="006B22A0">
        <w:t>Lastly, in August 2020, OHR initiated an internal resource and training for Advocates regarding usage of DBHDS Advocate Actions in CHRIS.  This resource defines how and when OHR staff should select drop-downs in CHRIS to capture Advocate Actions taken</w:t>
      </w:r>
      <w:r w:rsidR="006B22A0" w:rsidRPr="006B22A0">
        <w:t>,</w:t>
      </w:r>
      <w:r w:rsidRPr="006B22A0">
        <w:t xml:space="preserve"> which directly impacts the validity of investigative outcomes.  This effort towards consistent documentation should be evident in the next year of reviews.</w:t>
      </w:r>
    </w:p>
    <w:p w14:paraId="61DA5D9D" w14:textId="384DEDF2" w:rsidR="001E307A" w:rsidRPr="001E307A" w:rsidRDefault="001E307A" w:rsidP="001E307A">
      <w:pPr>
        <w:pStyle w:val="Heading1"/>
        <w:rPr>
          <w:color w:val="auto"/>
        </w:rPr>
      </w:pPr>
      <w:r w:rsidRPr="001E307A">
        <w:rPr>
          <w:color w:val="auto"/>
        </w:rPr>
        <w:t>Next Steps</w:t>
      </w:r>
    </w:p>
    <w:p w14:paraId="093FCA78" w14:textId="7C323140" w:rsidR="001E307A" w:rsidRDefault="00ED616B" w:rsidP="001E307A">
      <w:pPr>
        <w:pStyle w:val="BodyText"/>
      </w:pPr>
      <w:r>
        <w:t>As DQV prepared f</w:t>
      </w:r>
      <w:r w:rsidR="001E307A" w:rsidRPr="001E307A">
        <w:t>or the n</w:t>
      </w:r>
      <w:r>
        <w:t xml:space="preserve">ew </w:t>
      </w:r>
      <w:r w:rsidR="001E307A" w:rsidRPr="001E307A">
        <w:t xml:space="preserve">year of reviews for the Community Look Behind, </w:t>
      </w:r>
      <w:r w:rsidR="001E307A">
        <w:t xml:space="preserve">a substantial barrier was </w:t>
      </w:r>
      <w:r w:rsidR="001E307A" w:rsidRPr="001E307A">
        <w:t xml:space="preserve">encountered that </w:t>
      </w:r>
      <w:r w:rsidR="001E307A">
        <w:t xml:space="preserve">must </w:t>
      </w:r>
      <w:r w:rsidR="001E307A" w:rsidRPr="001E307A">
        <w:t xml:space="preserve">be addressed. </w:t>
      </w:r>
      <w:r w:rsidR="001E307A">
        <w:t xml:space="preserve">DQV identified a data quality issue in the Office of Licensing Information System (OLIS) that extended to </w:t>
      </w:r>
      <w:r w:rsidR="00BE57C7">
        <w:t xml:space="preserve">CHRIS and </w:t>
      </w:r>
      <w:r w:rsidR="001E307A">
        <w:t>the Data Warehouse</w:t>
      </w:r>
      <w:r w:rsidR="006D78C0">
        <w:t xml:space="preserve"> tables</w:t>
      </w:r>
      <w:r w:rsidR="001E307A">
        <w:t xml:space="preserve">. </w:t>
      </w:r>
      <w:r>
        <w:t xml:space="preserve">On September 1, 2021, DQV communicated to </w:t>
      </w:r>
      <w:r w:rsidR="006B22A0">
        <w:t xml:space="preserve">DBHDS </w:t>
      </w:r>
      <w:r>
        <w:t>leadership and key stakeholders</w:t>
      </w:r>
      <w:r w:rsidR="00AD6A05">
        <w:t xml:space="preserve"> that t</w:t>
      </w:r>
      <w:r w:rsidR="00AD6A05" w:rsidRPr="00AD6A05">
        <w:t>here does not appear to be a single comprehensive source of information classifying services by diagnosis group (i.e. DD, MH, SA, BI). All of the lookup tables in OLIS, CHRIS, and the Data Warehouse lack complete information related to which program and service codes specialize in supporting individuals with DD.</w:t>
      </w:r>
      <w:r w:rsidR="00AD6A05">
        <w:t xml:space="preserve"> </w:t>
      </w:r>
      <w:r w:rsidR="001E307A">
        <w:t xml:space="preserve">Without a means of distinguishing between DD and non-DD services, the sample of abuse, neglect, and exploitation </w:t>
      </w:r>
      <w:r w:rsidR="006D78C0">
        <w:t>cases</w:t>
      </w:r>
      <w:r w:rsidR="001E307A">
        <w:t xml:space="preserve"> retrieved from CHRIS </w:t>
      </w:r>
      <w:r w:rsidR="006D78C0">
        <w:t xml:space="preserve">may </w:t>
      </w:r>
      <w:r w:rsidR="001E307A">
        <w:t>not be representative of all DD services. Rather, the sample would be representative of a subset of DD services that systematically excludes other DD services solely due to data quality errors.</w:t>
      </w:r>
    </w:p>
    <w:p w14:paraId="7FDCD880" w14:textId="13C39516" w:rsidR="00ED616B" w:rsidRDefault="00ED616B" w:rsidP="001E307A">
      <w:pPr>
        <w:pStyle w:val="BodyText"/>
      </w:pPr>
      <w:r w:rsidRPr="00ED616B">
        <w:t xml:space="preserve">Without a clear way to group the program and service codes associated with DD services, it is not possible for </w:t>
      </w:r>
      <w:r>
        <w:t>DQV</w:t>
      </w:r>
      <w:r w:rsidRPr="00ED616B">
        <w:t xml:space="preserve"> to retrieve a valid random sample of Human Rights allegations for DD services. This issue must be addressed in the source system (OLIS) and incorporated into CHRIS before the Community Look Behind </w:t>
      </w:r>
      <w:r w:rsidR="00BE57C7">
        <w:t xml:space="preserve">reviews </w:t>
      </w:r>
      <w:r w:rsidRPr="00ED616B">
        <w:t>can proceed.</w:t>
      </w:r>
    </w:p>
    <w:p w14:paraId="169A17DE" w14:textId="4504760D" w:rsidR="001E307A" w:rsidRDefault="006D78C0" w:rsidP="001E307A">
      <w:pPr>
        <w:pStyle w:val="BodyText"/>
      </w:pPr>
      <w:r w:rsidRPr="006D78C0">
        <w:rPr>
          <w:color w:val="auto"/>
        </w:rPr>
        <w:t xml:space="preserve">DQV does not support performing the </w:t>
      </w:r>
      <w:r w:rsidR="00BE57C7">
        <w:rPr>
          <w:color w:val="auto"/>
        </w:rPr>
        <w:t xml:space="preserve">Community Look Behind </w:t>
      </w:r>
      <w:r w:rsidRPr="006D78C0">
        <w:rPr>
          <w:color w:val="auto"/>
        </w:rPr>
        <w:t xml:space="preserve">without a valid and reliable list of licensed services that includes the populations they serve. </w:t>
      </w:r>
      <w:r w:rsidR="001E307A">
        <w:t>If the previous methodology were applied to this year's study, the Community Look Behind would suffer from systematic bias by excluding DD services improperly classified as non-DD from the sample of cases eligible for review. This issue is especially pernicious as it would not be observable to OHR reviewers who are never assigned cases from non-DD services for review or validation.</w:t>
      </w:r>
    </w:p>
    <w:p w14:paraId="57319D60" w14:textId="4EF8A5E7" w:rsidR="006B22A0" w:rsidRDefault="006B22A0" w:rsidP="001E307A">
      <w:pPr>
        <w:pStyle w:val="BodyText"/>
      </w:pPr>
      <w:r>
        <w:t>To this end, the Community Look Behind is postponed until a valid and reliable list of services and the populations they support is available in DBHDS's licensing system of record and properly integrated in CHRIS and the Data Warehouse.</w:t>
      </w:r>
    </w:p>
    <w:sectPr w:rsidR="006B22A0">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D19E7" w14:textId="77777777" w:rsidR="003229ED" w:rsidRDefault="003229ED">
      <w:pPr>
        <w:spacing w:after="0"/>
      </w:pPr>
      <w:r>
        <w:separator/>
      </w:r>
    </w:p>
  </w:endnote>
  <w:endnote w:type="continuationSeparator" w:id="0">
    <w:p w14:paraId="713EBCFC" w14:textId="77777777" w:rsidR="003229ED" w:rsidRDefault="00322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20523"/>
      <w:docPartObj>
        <w:docPartGallery w:val="Page Numbers (Bottom of Page)"/>
        <w:docPartUnique/>
      </w:docPartObj>
    </w:sdtPr>
    <w:sdtEndPr>
      <w:rPr>
        <w:noProof/>
      </w:rPr>
    </w:sdtEndPr>
    <w:sdtContent>
      <w:p w14:paraId="05AD8D85" w14:textId="0EEC7012" w:rsidR="00502B08" w:rsidRDefault="00502B08">
        <w:pPr>
          <w:pStyle w:val="Footer"/>
          <w:jc w:val="right"/>
        </w:pPr>
        <w:r>
          <w:fldChar w:fldCharType="begin"/>
        </w:r>
        <w:r>
          <w:instrText xml:space="preserve"> PAGE   \* MERGEFORMAT </w:instrText>
        </w:r>
        <w:r>
          <w:fldChar w:fldCharType="separate"/>
        </w:r>
        <w:r w:rsidR="00A1360F">
          <w:rPr>
            <w:noProof/>
          </w:rPr>
          <w:t>7</w:t>
        </w:r>
        <w:r>
          <w:rPr>
            <w:noProof/>
          </w:rPr>
          <w:fldChar w:fldCharType="end"/>
        </w:r>
      </w:p>
    </w:sdtContent>
  </w:sdt>
  <w:p w14:paraId="131F81CB" w14:textId="4F018793" w:rsidR="00502B08" w:rsidRDefault="00502B08">
    <w:pPr>
      <w:pStyle w:val="Footer"/>
      <w:rPr>
        <w:rStyle w:val="SubtleEmphasis"/>
      </w:rPr>
    </w:pPr>
    <w:r>
      <w:rPr>
        <w:rStyle w:val="SubtleEmphasis"/>
      </w:rPr>
      <w:t>Created by the Office of Human Rights in collaboration with the Office of Data Quality and Visualization.</w:t>
    </w:r>
  </w:p>
  <w:p w14:paraId="08BB019A" w14:textId="55509E09" w:rsidR="00502B08" w:rsidRPr="00502B08" w:rsidRDefault="00502B08">
    <w:pPr>
      <w:pStyle w:val="Footer"/>
      <w:rPr>
        <w:i/>
        <w:iCs/>
        <w:color w:val="808080" w:themeColor="text1" w:themeTint="7F"/>
        <w:sz w:val="18"/>
      </w:rPr>
    </w:pPr>
    <w:r>
      <w:rPr>
        <w:i/>
        <w:iCs/>
        <w:color w:val="808080" w:themeColor="text1" w:themeTint="7F"/>
        <w:sz w:val="18"/>
      </w:rPr>
      <w:t>Version 1.0 – 10</w:t>
    </w:r>
    <w:r w:rsidR="001E307A">
      <w:rPr>
        <w:i/>
        <w:iCs/>
        <w:color w:val="808080" w:themeColor="text1" w:themeTint="7F"/>
        <w:sz w:val="18"/>
      </w:rPr>
      <w:t>NOV</w:t>
    </w:r>
    <w:r>
      <w:rPr>
        <w:i/>
        <w:iCs/>
        <w:color w:val="808080" w:themeColor="text1" w:themeTint="7F"/>
        <w:sz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319EE" w14:textId="77777777" w:rsidR="003229ED" w:rsidRDefault="003229ED">
      <w:r>
        <w:separator/>
      </w:r>
    </w:p>
  </w:footnote>
  <w:footnote w:type="continuationSeparator" w:id="0">
    <w:p w14:paraId="5CF188E6" w14:textId="77777777" w:rsidR="003229ED" w:rsidRDefault="0032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6D4948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828CC1F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D8ECB5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654075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5E643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AA4A9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42AF8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27EAC6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EB4DF0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B4ECC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AA1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CD2DE"/>
    <w:multiLevelType w:val="multilevel"/>
    <w:tmpl w:val="3716B0A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1AE401"/>
    <w:multiLevelType w:val="multilevel"/>
    <w:tmpl w:val="F0A20A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1"/>
  </w:num>
  <w:num w:numId="2">
    <w:abstractNumId w:val="11"/>
  </w:num>
  <w:num w:numId="3">
    <w:abstractNumId w:val="0"/>
  </w:num>
  <w:num w:numId="4">
    <w:abstractNumId w:val="0"/>
  </w:num>
  <w:num w:numId="5">
    <w:abstractNumId w:val="0"/>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72A68"/>
    <w:rsid w:val="00130AB2"/>
    <w:rsid w:val="001A2FDE"/>
    <w:rsid w:val="001E307A"/>
    <w:rsid w:val="00214DBA"/>
    <w:rsid w:val="0021579E"/>
    <w:rsid w:val="00240BCC"/>
    <w:rsid w:val="002E5825"/>
    <w:rsid w:val="003229ED"/>
    <w:rsid w:val="00384333"/>
    <w:rsid w:val="003A7885"/>
    <w:rsid w:val="00496E49"/>
    <w:rsid w:val="004A1B63"/>
    <w:rsid w:val="004E29B3"/>
    <w:rsid w:val="005008DE"/>
    <w:rsid w:val="00502B08"/>
    <w:rsid w:val="00532F43"/>
    <w:rsid w:val="00590D07"/>
    <w:rsid w:val="005C7D0C"/>
    <w:rsid w:val="00603D58"/>
    <w:rsid w:val="00630EA9"/>
    <w:rsid w:val="006B22A0"/>
    <w:rsid w:val="006D78C0"/>
    <w:rsid w:val="00780F9E"/>
    <w:rsid w:val="00783A22"/>
    <w:rsid w:val="00784D58"/>
    <w:rsid w:val="007C5936"/>
    <w:rsid w:val="007D2362"/>
    <w:rsid w:val="007D2B28"/>
    <w:rsid w:val="008152FF"/>
    <w:rsid w:val="00820A31"/>
    <w:rsid w:val="00851D8A"/>
    <w:rsid w:val="00866667"/>
    <w:rsid w:val="00894BD8"/>
    <w:rsid w:val="008D6863"/>
    <w:rsid w:val="0098797E"/>
    <w:rsid w:val="009E3503"/>
    <w:rsid w:val="00A01D0C"/>
    <w:rsid w:val="00A0320A"/>
    <w:rsid w:val="00A1360F"/>
    <w:rsid w:val="00A8724D"/>
    <w:rsid w:val="00AD6A05"/>
    <w:rsid w:val="00AE1EEC"/>
    <w:rsid w:val="00B12D2E"/>
    <w:rsid w:val="00B86B75"/>
    <w:rsid w:val="00BC48D5"/>
    <w:rsid w:val="00BE57C7"/>
    <w:rsid w:val="00BF1358"/>
    <w:rsid w:val="00C36279"/>
    <w:rsid w:val="00CE2DE6"/>
    <w:rsid w:val="00CE3189"/>
    <w:rsid w:val="00CF069A"/>
    <w:rsid w:val="00D77012"/>
    <w:rsid w:val="00DC262E"/>
    <w:rsid w:val="00DC5D67"/>
    <w:rsid w:val="00E315A3"/>
    <w:rsid w:val="00E92DA1"/>
    <w:rsid w:val="00ED1DDE"/>
    <w:rsid w:val="00ED616B"/>
    <w:rsid w:val="00F651DB"/>
    <w:rsid w:val="00F8501F"/>
    <w:rsid w:val="00FF3B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B36F"/>
  <w15:docId w15:val="{8F538590-6DFE-471A-9606-61DFC8B5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31"/>
    <w:rPr>
      <w:rFonts w:ascii="Segoe UI" w:hAnsi="Segoe UI"/>
      <w:color w:val="0B0B0B"/>
      <w:sz w:val="22"/>
    </w:rPr>
  </w:style>
  <w:style w:type="paragraph" w:styleId="Heading1">
    <w:name w:val="heading 1"/>
    <w:basedOn w:val="Normal"/>
    <w:next w:val="BodyText"/>
    <w:link w:val="Heading1Char"/>
    <w:uiPriority w:val="9"/>
    <w:qFormat/>
    <w:rsid w:val="00065554"/>
    <w:pPr>
      <w:keepNext/>
      <w:keepLines/>
      <w:spacing w:before="280" w:after="80"/>
      <w:outlineLvl w:val="0"/>
    </w:pPr>
    <w:rPr>
      <w:rFonts w:ascii="Georgia" w:eastAsiaTheme="majorEastAsia" w:hAnsi="Georgia" w:cstheme="majorBidi"/>
      <w:bCs/>
      <w:sz w:val="32"/>
      <w:szCs w:val="32"/>
    </w:rPr>
  </w:style>
  <w:style w:type="paragraph" w:styleId="Heading2">
    <w:name w:val="heading 2"/>
    <w:basedOn w:val="Normal"/>
    <w:next w:val="BodyText"/>
    <w:link w:val="Heading2Char"/>
    <w:uiPriority w:val="9"/>
    <w:unhideWhenUsed/>
    <w:qFormat/>
    <w:rsid w:val="00B034B3"/>
    <w:pPr>
      <w:keepNext/>
      <w:keepLines/>
      <w:spacing w:before="280" w:after="80"/>
      <w:outlineLvl w:val="1"/>
    </w:pPr>
    <w:rPr>
      <w:rFonts w:ascii="Georgia" w:eastAsiaTheme="majorEastAsia" w:hAnsi="Georgia" w:cstheme="majorBidi"/>
      <w:bCs/>
      <w:sz w:val="26"/>
      <w:szCs w:val="32"/>
    </w:rPr>
  </w:style>
  <w:style w:type="paragraph" w:styleId="Heading3">
    <w:name w:val="heading 3"/>
    <w:basedOn w:val="Heading2"/>
    <w:next w:val="BodyText"/>
    <w:link w:val="Heading3Char"/>
    <w:uiPriority w:val="9"/>
    <w:unhideWhenUsed/>
    <w:qFormat/>
    <w:rsid w:val="0085572D"/>
    <w:pPr>
      <w:outlineLvl w:val="2"/>
    </w:pPr>
    <w:rPr>
      <w:bCs w:val="0"/>
      <w:sz w:val="24"/>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rPr>
  </w:style>
  <w:style w:type="paragraph" w:styleId="Heading6">
    <w:name w:val="heading 6"/>
    <w:basedOn w:val="Normal"/>
    <w:next w:val="BodyText"/>
    <w:uiPriority w:val="9"/>
    <w:unhideWhenUsed/>
    <w:qFormat/>
    <w:rsid w:val="002068C2"/>
    <w:pPr>
      <w:keepNext/>
      <w:keepLines/>
      <w:spacing w:before="200" w:after="0"/>
      <w:jc w:val="center"/>
      <w:outlineLvl w:val="5"/>
    </w:pPr>
    <w:rPr>
      <w:rFonts w:eastAsiaTheme="majorEastAsia" w:cstheme="majorBidi"/>
      <w:b/>
      <w:sz w:val="18"/>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rPr>
  </w:style>
  <w:style w:type="paragraph" w:styleId="Heading9">
    <w:name w:val="heading 9"/>
    <w:basedOn w:val="Normal"/>
    <w:next w:val="BodyText"/>
    <w:uiPriority w:val="9"/>
    <w:unhideWhenUsed/>
    <w:qFormat/>
    <w:rsid w:val="003B6050"/>
    <w:pPr>
      <w:keepNext/>
      <w:pageBreakBefore/>
      <w:spacing w:after="0" w:line="20" w:lineRule="exact"/>
      <w:outlineLvl w:val="8"/>
    </w:pPr>
    <w:rPr>
      <w:rFonts w:ascii="Georgia" w:eastAsiaTheme="majorEastAsia" w:hAnsi="Georgia" w:cstheme="majorBidi"/>
      <w:color w:val="FFFFFF" w:themeColor="background1"/>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32EBA"/>
    <w:pPr>
      <w:spacing w:after="240" w:line="276" w:lineRule="auto"/>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aliases w:val="Main Title"/>
    <w:basedOn w:val="Normal"/>
    <w:next w:val="BodyText"/>
    <w:link w:val="TitleChar"/>
    <w:uiPriority w:val="10"/>
    <w:qFormat/>
    <w:rsid w:val="00BE0EAC"/>
    <w:pPr>
      <w:keepNext/>
      <w:keepLines/>
      <w:pBdr>
        <w:bottom w:val="single" w:sz="8" w:space="4" w:color="30699D"/>
      </w:pBdr>
      <w:spacing w:after="140"/>
    </w:pPr>
    <w:rPr>
      <w:rFonts w:ascii="Georgia" w:eastAsiaTheme="majorEastAsia" w:hAnsi="Georgia" w:cstheme="majorBidi"/>
      <w:bCs/>
      <w:color w:val="30699D"/>
      <w:sz w:val="52"/>
      <w:szCs w:val="36"/>
    </w:rPr>
  </w:style>
  <w:style w:type="paragraph" w:styleId="Subtitle">
    <w:name w:val="Subtitle"/>
    <w:basedOn w:val="Title"/>
    <w:next w:val="BodyText"/>
    <w:link w:val="SubtitleChar"/>
    <w:uiPriority w:val="11"/>
    <w:qFormat/>
    <w:rsid w:val="00BE0EAC"/>
    <w:pPr>
      <w:pBdr>
        <w:bottom w:val="none" w:sz="0" w:space="0" w:color="auto"/>
      </w:pBdr>
      <w:spacing w:before="240" w:after="600"/>
    </w:pPr>
    <w:rPr>
      <w:color w:val="4F81BD" w:themeColor="accent1"/>
      <w:sz w:val="26"/>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link w:val="TOCHeadingChar"/>
    <w:uiPriority w:val="39"/>
    <w:unhideWhenUsed/>
    <w:qFormat/>
    <w:rsid w:val="00173CEC"/>
    <w:pPr>
      <w:spacing w:before="240" w:line="259" w:lineRule="auto"/>
      <w:outlineLvl w:val="9"/>
    </w:pPr>
    <w:rPr>
      <w:bCs w:val="0"/>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E32EBA"/>
    <w:rPr>
      <w:rFonts w:ascii="Segoe UI" w:hAnsi="Segoe UI"/>
      <w:color w:val="0B0B0B"/>
      <w:sz w:val="22"/>
    </w:rPr>
  </w:style>
  <w:style w:type="character" w:customStyle="1" w:styleId="Heading1Char">
    <w:name w:val="Heading 1 Char"/>
    <w:basedOn w:val="DefaultParagraphFont"/>
    <w:link w:val="Heading1"/>
    <w:uiPriority w:val="9"/>
    <w:rsid w:val="00173CEC"/>
    <w:rPr>
      <w:rFonts w:ascii="Georgia" w:eastAsiaTheme="majorEastAsia" w:hAnsi="Georgia" w:cstheme="majorBidi"/>
      <w:bCs/>
      <w:color w:val="0B0B0B"/>
      <w:sz w:val="32"/>
      <w:szCs w:val="32"/>
    </w:rPr>
  </w:style>
  <w:style w:type="character" w:customStyle="1" w:styleId="TOCHeadingChar">
    <w:name w:val="TOC Heading Char"/>
    <w:basedOn w:val="Heading1Char"/>
    <w:link w:val="TOCHeading"/>
    <w:uiPriority w:val="39"/>
    <w:rsid w:val="00173CEC"/>
    <w:rPr>
      <w:rFonts w:ascii="Georgia" w:eastAsiaTheme="majorEastAsia" w:hAnsi="Georgia" w:cstheme="majorBidi"/>
      <w:bCs w:val="0"/>
      <w:color w:val="0B0B0B"/>
      <w:sz w:val="32"/>
      <w:szCs w:val="32"/>
    </w:rPr>
  </w:style>
  <w:style w:type="character" w:customStyle="1" w:styleId="Heading2Char">
    <w:name w:val="Heading 2 Char"/>
    <w:basedOn w:val="DefaultParagraphFont"/>
    <w:link w:val="Heading2"/>
    <w:uiPriority w:val="9"/>
    <w:rsid w:val="0085572D"/>
    <w:rPr>
      <w:rFonts w:ascii="Georgia" w:eastAsiaTheme="majorEastAsia" w:hAnsi="Georgia" w:cstheme="majorBidi"/>
      <w:bCs/>
      <w:color w:val="0B0B0B"/>
      <w:sz w:val="26"/>
      <w:szCs w:val="32"/>
    </w:rPr>
  </w:style>
  <w:style w:type="character" w:customStyle="1" w:styleId="Heading3Char">
    <w:name w:val="Heading 3 Char"/>
    <w:basedOn w:val="Heading2Char"/>
    <w:link w:val="Heading3"/>
    <w:uiPriority w:val="9"/>
    <w:rsid w:val="0085572D"/>
    <w:rPr>
      <w:rFonts w:ascii="Georgia" w:eastAsiaTheme="majorEastAsia" w:hAnsi="Georgia" w:cstheme="majorBidi"/>
      <w:bCs w:val="0"/>
      <w:color w:val="0B0B0B"/>
      <w:sz w:val="26"/>
      <w:szCs w:val="28"/>
    </w:rPr>
  </w:style>
  <w:style w:type="character" w:customStyle="1" w:styleId="normaltextrun">
    <w:name w:val="normaltextrun"/>
    <w:basedOn w:val="DefaultParagraphFont"/>
    <w:rsid w:val="00AE1EEC"/>
  </w:style>
  <w:style w:type="character" w:customStyle="1" w:styleId="eop">
    <w:name w:val="eop"/>
    <w:basedOn w:val="DefaultParagraphFont"/>
    <w:rsid w:val="00AE1EEC"/>
  </w:style>
  <w:style w:type="character" w:customStyle="1" w:styleId="TitleChar">
    <w:name w:val="Title Char"/>
    <w:aliases w:val="Main Title Char"/>
    <w:basedOn w:val="DefaultParagraphFont"/>
    <w:link w:val="Title"/>
    <w:uiPriority w:val="10"/>
    <w:rsid w:val="00502B08"/>
    <w:rPr>
      <w:rFonts w:ascii="Georgia" w:eastAsiaTheme="majorEastAsia" w:hAnsi="Georgia" w:cstheme="majorBidi"/>
      <w:bCs/>
      <w:color w:val="30699D"/>
      <w:sz w:val="52"/>
      <w:szCs w:val="36"/>
    </w:rPr>
  </w:style>
  <w:style w:type="character" w:customStyle="1" w:styleId="SubtitleChar">
    <w:name w:val="Subtitle Char"/>
    <w:basedOn w:val="DefaultParagraphFont"/>
    <w:link w:val="Subtitle"/>
    <w:uiPriority w:val="11"/>
    <w:rsid w:val="00502B08"/>
    <w:rPr>
      <w:rFonts w:ascii="Georgia" w:eastAsiaTheme="majorEastAsia" w:hAnsi="Georgia" w:cstheme="majorBidi"/>
      <w:bCs/>
      <w:color w:val="4F81BD" w:themeColor="accent1"/>
      <w:sz w:val="26"/>
      <w:szCs w:val="30"/>
    </w:rPr>
  </w:style>
  <w:style w:type="paragraph" w:styleId="Header">
    <w:name w:val="header"/>
    <w:basedOn w:val="Normal"/>
    <w:link w:val="HeaderChar"/>
    <w:unhideWhenUsed/>
    <w:rsid w:val="00502B08"/>
    <w:pPr>
      <w:tabs>
        <w:tab w:val="center" w:pos="4680"/>
        <w:tab w:val="right" w:pos="9360"/>
      </w:tabs>
      <w:spacing w:after="0"/>
    </w:pPr>
  </w:style>
  <w:style w:type="character" w:customStyle="1" w:styleId="HeaderChar">
    <w:name w:val="Header Char"/>
    <w:basedOn w:val="DefaultParagraphFont"/>
    <w:link w:val="Header"/>
    <w:rsid w:val="00502B08"/>
    <w:rPr>
      <w:rFonts w:ascii="Segoe UI" w:hAnsi="Segoe UI"/>
      <w:color w:val="0B0B0B"/>
      <w:sz w:val="22"/>
    </w:rPr>
  </w:style>
  <w:style w:type="paragraph" w:styleId="Footer">
    <w:name w:val="footer"/>
    <w:basedOn w:val="Normal"/>
    <w:link w:val="FooterChar"/>
    <w:uiPriority w:val="99"/>
    <w:unhideWhenUsed/>
    <w:rsid w:val="00502B08"/>
    <w:pPr>
      <w:tabs>
        <w:tab w:val="center" w:pos="4680"/>
        <w:tab w:val="right" w:pos="9360"/>
      </w:tabs>
      <w:spacing w:after="0"/>
    </w:pPr>
  </w:style>
  <w:style w:type="character" w:customStyle="1" w:styleId="FooterChar">
    <w:name w:val="Footer Char"/>
    <w:basedOn w:val="DefaultParagraphFont"/>
    <w:link w:val="Footer"/>
    <w:uiPriority w:val="99"/>
    <w:rsid w:val="00502B08"/>
    <w:rPr>
      <w:rFonts w:ascii="Segoe UI" w:hAnsi="Segoe UI"/>
      <w:color w:val="0B0B0B"/>
      <w:sz w:val="22"/>
    </w:rPr>
  </w:style>
  <w:style w:type="character" w:styleId="SubtleEmphasis">
    <w:name w:val="Subtle Emphasis"/>
    <w:aliases w:val="DQV Footer"/>
    <w:basedOn w:val="DefaultParagraphFont"/>
    <w:uiPriority w:val="19"/>
    <w:qFormat/>
    <w:rsid w:val="00502B08"/>
    <w:rPr>
      <w:rFonts w:ascii="Segoe UI" w:hAnsi="Segoe UI"/>
      <w:i/>
      <w:iCs/>
      <w:color w:val="808080" w:themeColor="text1" w:themeTint="7F"/>
      <w:sz w:val="18"/>
    </w:rPr>
  </w:style>
  <w:style w:type="paragraph" w:customStyle="1" w:styleId="paragraph">
    <w:name w:val="paragraph"/>
    <w:basedOn w:val="Normal"/>
    <w:rsid w:val="00F8501F"/>
    <w:pPr>
      <w:spacing w:before="100" w:beforeAutospacing="1" w:after="100" w:afterAutospacing="1"/>
    </w:pPr>
    <w:rPr>
      <w:rFonts w:ascii="Times New Roman" w:eastAsia="Times New Roman" w:hAnsi="Times New Roman" w:cs="Times New Roman"/>
      <w:color w:val="auto"/>
      <w:sz w:val="24"/>
    </w:rPr>
  </w:style>
  <w:style w:type="character" w:customStyle="1" w:styleId="advancedproofingissue">
    <w:name w:val="advancedproofingissue"/>
    <w:basedOn w:val="DefaultParagraphFont"/>
    <w:rsid w:val="00F8501F"/>
  </w:style>
  <w:style w:type="character" w:customStyle="1" w:styleId="contextualspellingandgrammarerror">
    <w:name w:val="contextualspellingandgrammarerror"/>
    <w:basedOn w:val="DefaultParagraphFont"/>
    <w:rsid w:val="00F8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86523">
      <w:bodyDiv w:val="1"/>
      <w:marLeft w:val="0"/>
      <w:marRight w:val="0"/>
      <w:marTop w:val="0"/>
      <w:marBottom w:val="0"/>
      <w:divBdr>
        <w:top w:val="none" w:sz="0" w:space="0" w:color="auto"/>
        <w:left w:val="none" w:sz="0" w:space="0" w:color="auto"/>
        <w:bottom w:val="none" w:sz="0" w:space="0" w:color="auto"/>
        <w:right w:val="none" w:sz="0" w:space="0" w:color="auto"/>
      </w:divBdr>
      <w:divsChild>
        <w:div w:id="1000700015">
          <w:marLeft w:val="0"/>
          <w:marRight w:val="0"/>
          <w:marTop w:val="0"/>
          <w:marBottom w:val="0"/>
          <w:divBdr>
            <w:top w:val="none" w:sz="0" w:space="0" w:color="auto"/>
            <w:left w:val="none" w:sz="0" w:space="0" w:color="auto"/>
            <w:bottom w:val="none" w:sz="0" w:space="0" w:color="auto"/>
            <w:right w:val="none" w:sz="0" w:space="0" w:color="auto"/>
          </w:divBdr>
        </w:div>
        <w:div w:id="16835547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38053E66284AA9B1BF55F49478E1" ma:contentTypeVersion="2" ma:contentTypeDescription="Create a new document." ma:contentTypeScope="" ma:versionID="7b06d3b96007ba4e6eeb0d2651f417bf">
  <xsd:schema xmlns:xsd="http://www.w3.org/2001/XMLSchema" xmlns:xs="http://www.w3.org/2001/XMLSchema" xmlns:p="http://schemas.microsoft.com/office/2006/metadata/properties" xmlns:ns2="b3aa3b2a-217b-45e7-bb42-a92c658517ed" targetNamespace="http://schemas.microsoft.com/office/2006/metadata/properties" ma:root="true" ma:fieldsID="95f3dba6dbbbda559ebab5aa3c51c7d2" ns2:_="">
    <xsd:import namespace="b3aa3b2a-217b-45e7-bb42-a92c658517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a3b2a-217b-45e7-bb42-a92c6585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7A00A-DF30-4110-B9EE-5AD2590FFE51}">
  <ds:schemaRefs>
    <ds:schemaRef ds:uri="http://schemas.microsoft.com/sharepoint/v3/contenttype/forms"/>
  </ds:schemaRefs>
</ds:datastoreItem>
</file>

<file path=customXml/itemProps2.xml><?xml version="1.0" encoding="utf-8"?>
<ds:datastoreItem xmlns:ds="http://schemas.openxmlformats.org/officeDocument/2006/customXml" ds:itemID="{CB3980E7-E445-4FDD-916C-A30853C06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a3b2a-217b-45e7-bb42-a92c65851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BDA49-5BAE-4274-8003-F49C01A58805}">
  <ds:schemaRefs>
    <ds:schemaRef ds:uri="http://schemas.microsoft.com/office/2006/documentManagement/types"/>
    <ds:schemaRef ds:uri="http://schemas.microsoft.com/office/2006/metadata/properties"/>
    <ds:schemaRef ds:uri="http://purl.org/dc/elements/1.1/"/>
    <ds:schemaRef ds:uri="http://purl.org/dc/terms/"/>
    <ds:schemaRef ds:uri="b3aa3b2a-217b-45e7-bb42-a92c658517ed"/>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Community Look-Behind</vt:lpstr>
    </vt:vector>
  </TitlesOfParts>
  <Company>Virginia IT Infrastructure Partnership</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Look-Behind</dc:title>
  <dc:creator>Kovack, Jennifer (DBHDS)</dc:creator>
  <cp:keywords/>
  <cp:lastModifiedBy>Goldman, Taneika (DBHDS)</cp:lastModifiedBy>
  <cp:revision>2</cp:revision>
  <dcterms:created xsi:type="dcterms:W3CDTF">2021-11-29T01:22:00Z</dcterms:created>
  <dcterms:modified xsi:type="dcterms:W3CDTF">2021-11-29T01:22:00Z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no</vt:lpwstr>
  </property>
  <property fmtid="{D5CDD505-2E9C-101B-9397-08002B2CF9AE}" pid="3" name="output">
    <vt:lpwstr/>
  </property>
  <property fmtid="{D5CDD505-2E9C-101B-9397-08002B2CF9AE}" pid="4" name="params">
    <vt:lpwstr/>
  </property>
  <property fmtid="{D5CDD505-2E9C-101B-9397-08002B2CF9AE}" pid="5" name="subtitle">
    <vt:lpwstr>All Regions Preliminary Summary (CY 2020 Q1 - 4)</vt:lpwstr>
  </property>
  <property fmtid="{D5CDD505-2E9C-101B-9397-08002B2CF9AE}" pid="6" name="ContentTypeId">
    <vt:lpwstr>0x010100C93F38053E66284AA9B1BF55F49478E1</vt:lpwstr>
  </property>
</Properties>
</file>